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AD32CD" w14:textId="4BCCBF21" w:rsidR="0074012F" w:rsidRPr="0074012F" w:rsidRDefault="0074012F" w:rsidP="00417418">
      <w:pPr>
        <w:tabs>
          <w:tab w:val="left" w:pos="10773"/>
        </w:tabs>
        <w:autoSpaceDN w:val="0"/>
        <w:spacing w:after="0" w:line="276" w:lineRule="auto"/>
        <w:ind w:right="1" w:firstLine="633"/>
        <w:jc w:val="right"/>
        <w:rPr>
          <w:rFonts w:ascii="Times New Roman" w:eastAsia="Times New Roman" w:hAnsi="Times New Roman" w:cs="Times New Roman"/>
          <w:sz w:val="24"/>
          <w:szCs w:val="24"/>
          <w:lang w:eastAsia="pl-PL"/>
        </w:rPr>
      </w:pPr>
      <w:r w:rsidRPr="0074012F">
        <w:rPr>
          <w:rFonts w:ascii="Times New Roman" w:eastAsia="Times New Roman" w:hAnsi="Times New Roman" w:cs="Times New Roman"/>
          <w:sz w:val="24"/>
          <w:szCs w:val="24"/>
          <w:lang w:eastAsia="pl-PL"/>
        </w:rPr>
        <w:t xml:space="preserve">Warszawa, </w:t>
      </w:r>
      <w:r w:rsidRPr="00B06B9B">
        <w:rPr>
          <w:rFonts w:ascii="Times New Roman" w:eastAsia="Times New Roman" w:hAnsi="Times New Roman" w:cs="Times New Roman"/>
          <w:sz w:val="24"/>
          <w:szCs w:val="24"/>
          <w:lang w:eastAsia="pl-PL"/>
        </w:rPr>
        <w:t>1</w:t>
      </w:r>
      <w:r w:rsidR="008D589C">
        <w:rPr>
          <w:rFonts w:ascii="Times New Roman" w:eastAsia="Times New Roman" w:hAnsi="Times New Roman" w:cs="Times New Roman"/>
          <w:sz w:val="24"/>
          <w:szCs w:val="24"/>
          <w:lang w:eastAsia="pl-PL"/>
        </w:rPr>
        <w:t>9</w:t>
      </w:r>
      <w:r w:rsidRPr="00B06B9B">
        <w:rPr>
          <w:rFonts w:ascii="Times New Roman" w:eastAsia="Times New Roman" w:hAnsi="Times New Roman" w:cs="Times New Roman"/>
          <w:sz w:val="24"/>
          <w:szCs w:val="24"/>
          <w:lang w:eastAsia="pl-PL"/>
        </w:rPr>
        <w:t xml:space="preserve"> sierpnia </w:t>
      </w:r>
      <w:r w:rsidRPr="0074012F">
        <w:rPr>
          <w:rFonts w:ascii="Times New Roman" w:eastAsia="Times New Roman" w:hAnsi="Times New Roman" w:cs="Times New Roman"/>
          <w:sz w:val="24"/>
          <w:szCs w:val="24"/>
          <w:lang w:eastAsia="pl-PL"/>
        </w:rPr>
        <w:t>2021 r.</w:t>
      </w:r>
    </w:p>
    <w:p w14:paraId="6182EE10" w14:textId="77777777" w:rsidR="0074012F" w:rsidRPr="0074012F" w:rsidRDefault="0074012F" w:rsidP="00B06B9B">
      <w:pPr>
        <w:tabs>
          <w:tab w:val="left" w:pos="10773"/>
        </w:tabs>
        <w:autoSpaceDN w:val="0"/>
        <w:spacing w:after="0" w:line="276" w:lineRule="auto"/>
        <w:ind w:right="1" w:firstLine="633"/>
        <w:jc w:val="both"/>
        <w:rPr>
          <w:rFonts w:ascii="Times New Roman" w:eastAsia="Times New Roman" w:hAnsi="Times New Roman" w:cs="Times New Roman"/>
          <w:b/>
          <w:sz w:val="24"/>
          <w:szCs w:val="24"/>
          <w:lang w:eastAsia="pl-PL"/>
        </w:rPr>
      </w:pPr>
    </w:p>
    <w:p w14:paraId="76F3C4EF" w14:textId="15B8DBD4" w:rsidR="0074012F" w:rsidRPr="008D589C" w:rsidRDefault="0074012F" w:rsidP="00417418">
      <w:pPr>
        <w:tabs>
          <w:tab w:val="left" w:pos="10773"/>
        </w:tabs>
        <w:autoSpaceDN w:val="0"/>
        <w:spacing w:after="0" w:line="276" w:lineRule="auto"/>
        <w:jc w:val="center"/>
        <w:rPr>
          <w:rFonts w:ascii="Times New Roman" w:eastAsia="Times New Roman" w:hAnsi="Times New Roman" w:cs="Times New Roman"/>
          <w:b/>
          <w:sz w:val="24"/>
          <w:szCs w:val="24"/>
          <w:lang w:eastAsia="pl-PL"/>
        </w:rPr>
      </w:pPr>
      <w:r w:rsidRPr="008D589C">
        <w:rPr>
          <w:rFonts w:ascii="Times New Roman" w:eastAsia="Times New Roman" w:hAnsi="Times New Roman" w:cs="Times New Roman"/>
          <w:b/>
          <w:sz w:val="24"/>
          <w:szCs w:val="24"/>
          <w:lang w:eastAsia="pl-PL"/>
        </w:rPr>
        <w:t>Raport z konsultacji publicznych</w:t>
      </w:r>
    </w:p>
    <w:p w14:paraId="6FD61247" w14:textId="77777777" w:rsidR="00417418" w:rsidRPr="008D589C" w:rsidRDefault="00417418" w:rsidP="00417418">
      <w:pPr>
        <w:tabs>
          <w:tab w:val="left" w:pos="10773"/>
        </w:tabs>
        <w:autoSpaceDN w:val="0"/>
        <w:spacing w:after="0" w:line="276" w:lineRule="auto"/>
        <w:jc w:val="center"/>
        <w:rPr>
          <w:rFonts w:ascii="Times New Roman" w:eastAsia="Times New Roman" w:hAnsi="Times New Roman" w:cs="Times New Roman"/>
          <w:b/>
          <w:sz w:val="24"/>
          <w:szCs w:val="24"/>
          <w:lang w:eastAsia="pl-PL"/>
        </w:rPr>
      </w:pPr>
    </w:p>
    <w:p w14:paraId="77D63527" w14:textId="03FBFF58" w:rsidR="000220D9" w:rsidRPr="008D589C" w:rsidRDefault="0074012F" w:rsidP="00503EEB">
      <w:pPr>
        <w:spacing w:after="0" w:line="240" w:lineRule="auto"/>
        <w:jc w:val="center"/>
        <w:rPr>
          <w:rFonts w:ascii="Times New Roman" w:hAnsi="Times New Roman" w:cs="Times New Roman"/>
          <w:b/>
          <w:bCs/>
          <w:i/>
          <w:iCs/>
          <w:sz w:val="24"/>
          <w:szCs w:val="24"/>
        </w:rPr>
      </w:pPr>
      <w:r w:rsidRPr="008D589C">
        <w:rPr>
          <w:rFonts w:ascii="Times New Roman" w:eastAsia="Times New Roman" w:hAnsi="Times New Roman" w:cs="Times New Roman"/>
          <w:b/>
          <w:bCs/>
          <w:sz w:val="24"/>
          <w:szCs w:val="24"/>
        </w:rPr>
        <w:t>dotyczący projektu r</w:t>
      </w:r>
      <w:r w:rsidRPr="008D589C">
        <w:rPr>
          <w:rFonts w:ascii="Times New Roman" w:eastAsia="Calibri" w:hAnsi="Times New Roman" w:cs="Times New Roman"/>
          <w:b/>
          <w:bCs/>
          <w:sz w:val="24"/>
          <w:szCs w:val="24"/>
        </w:rPr>
        <w:t xml:space="preserve">ozporządzenia Ministra Sprawiedliwości </w:t>
      </w:r>
      <w:r w:rsidR="008D589C" w:rsidRPr="008D589C">
        <w:rPr>
          <w:rFonts w:ascii="Times New Roman" w:hAnsi="Times New Roman" w:cs="Times New Roman"/>
          <w:b/>
          <w:bCs/>
          <w:sz w:val="24"/>
          <w:szCs w:val="24"/>
        </w:rPr>
        <w:t xml:space="preserve">w sprawie sposobu i trybu prowadzenia akt oraz zbioru dokumentów, w tym stosowania urządzeń ewidencyjnych, a także udostępniania tych akt oraz zbioru dokumentów w postępowaniu o zatwierdzenie układu </w:t>
      </w:r>
    </w:p>
    <w:p w14:paraId="00D6FEF6" w14:textId="6FC21D90" w:rsidR="0074012F" w:rsidRPr="00503EEB" w:rsidRDefault="0074012F" w:rsidP="00B06B9B">
      <w:pPr>
        <w:jc w:val="both"/>
        <w:rPr>
          <w:rFonts w:ascii="Times New Roman" w:eastAsia="Times New Roman" w:hAnsi="Times New Roman" w:cs="Times New Roman"/>
          <w:b/>
          <w:bCs/>
          <w:sz w:val="24"/>
          <w:szCs w:val="24"/>
          <w:lang w:eastAsia="pl-PL"/>
        </w:rPr>
      </w:pPr>
    </w:p>
    <w:p w14:paraId="52FFD9D7" w14:textId="77777777" w:rsidR="0074012F" w:rsidRPr="0074012F" w:rsidRDefault="0074012F" w:rsidP="00B06B9B">
      <w:pPr>
        <w:tabs>
          <w:tab w:val="left" w:pos="10773"/>
        </w:tabs>
        <w:spacing w:after="0" w:line="276" w:lineRule="auto"/>
        <w:ind w:firstLine="633"/>
        <w:jc w:val="both"/>
        <w:rPr>
          <w:rFonts w:ascii="Times New Roman" w:eastAsia="Times New Roman" w:hAnsi="Times New Roman" w:cs="Times New Roman"/>
          <w:sz w:val="24"/>
          <w:szCs w:val="24"/>
          <w:lang w:eastAsia="pl-PL"/>
        </w:rPr>
      </w:pPr>
    </w:p>
    <w:p w14:paraId="19301AB9" w14:textId="309EE5D8" w:rsidR="00BD6C67" w:rsidRPr="00B06B9B" w:rsidRDefault="0074012F" w:rsidP="00B06B9B">
      <w:pPr>
        <w:autoSpaceDE w:val="0"/>
        <w:autoSpaceDN w:val="0"/>
        <w:adjustRightInd w:val="0"/>
        <w:spacing w:after="0" w:line="276" w:lineRule="auto"/>
        <w:ind w:firstLine="709"/>
        <w:jc w:val="both"/>
        <w:rPr>
          <w:rFonts w:ascii="Times New Roman" w:hAnsi="Times New Roman" w:cs="Times New Roman"/>
          <w:sz w:val="24"/>
          <w:szCs w:val="24"/>
        </w:rPr>
      </w:pPr>
      <w:r w:rsidRPr="0074012F">
        <w:rPr>
          <w:rFonts w:ascii="Times New Roman" w:eastAsia="Times New Roman" w:hAnsi="Times New Roman" w:cs="Times New Roman"/>
          <w:sz w:val="24"/>
          <w:szCs w:val="24"/>
          <w:lang w:eastAsia="pl-PL"/>
        </w:rPr>
        <w:t xml:space="preserve">W ramach opinii i konsultacji publicznych projekt został skierowany do </w:t>
      </w:r>
      <w:r w:rsidR="00BD6C67" w:rsidRPr="00B06B9B">
        <w:rPr>
          <w:rFonts w:ascii="Times New Roman" w:hAnsi="Times New Roman" w:cs="Times New Roman"/>
          <w:sz w:val="24"/>
          <w:szCs w:val="24"/>
        </w:rPr>
        <w:t>Stowarzyszenia Sędziów Polskich „Iustitia”, Stowarzyszenia Sędziów „Themis, Stowarzyszenia Referendarzy Sądowych Rzeczpospolitej Polskiej, Ogólnopolskiego Stowarzyszenia Referendarzy Sądowych, Fundacji Polskie Towarzystwo Prawnicze Opus Iuris, Porozumienia Samorządów Zawodowych i Stowarzyszeń Prawniczych, Stowarzyszenia Syndyków Polskich, Stowarzyszenia Sędziów Upadłościowych i Restrukturyzacyjnych, Stowarzyszenia Praktyków Restrukturyzacji, Krajowej Rady Kuratorów,  Naczelnej Rady Adwokackiej, Krajowej Izby Radców Prawnych, Krajowej Rady Notarialnej, Krajowej Rady Komorniczej, Krajowej Izby Biegłych Rewidentów, Biura Informacji Kredytowej, Krajowej Izby Doradców Restrukturyzacyjnych, Instytutu Allerhanda w Krakowie, Instytutu Prawa Upadłościowego i Restrukturyzacyjnego Uczelni Łazarskiego</w:t>
      </w:r>
      <w:r w:rsidR="00C11138" w:rsidRPr="00B06B9B">
        <w:rPr>
          <w:rFonts w:ascii="Times New Roman" w:hAnsi="Times New Roman" w:cs="Times New Roman"/>
          <w:sz w:val="24"/>
          <w:szCs w:val="24"/>
        </w:rPr>
        <w:t>,</w:t>
      </w:r>
      <w:r w:rsidR="00BD6C67" w:rsidRPr="00B06B9B">
        <w:rPr>
          <w:rFonts w:ascii="Times New Roman" w:hAnsi="Times New Roman" w:cs="Times New Roman"/>
          <w:sz w:val="24"/>
          <w:szCs w:val="24"/>
        </w:rPr>
        <w:t xml:space="preserve"> Związ</w:t>
      </w:r>
      <w:r w:rsidR="00C11138" w:rsidRPr="00B06B9B">
        <w:rPr>
          <w:rFonts w:ascii="Times New Roman" w:hAnsi="Times New Roman" w:cs="Times New Roman"/>
          <w:sz w:val="24"/>
          <w:szCs w:val="24"/>
        </w:rPr>
        <w:t>ku</w:t>
      </w:r>
      <w:r w:rsidR="00BD6C67" w:rsidRPr="00B06B9B">
        <w:rPr>
          <w:rFonts w:ascii="Times New Roman" w:hAnsi="Times New Roman" w:cs="Times New Roman"/>
          <w:sz w:val="24"/>
          <w:szCs w:val="24"/>
        </w:rPr>
        <w:t xml:space="preserve"> Banków Polskich</w:t>
      </w:r>
      <w:r w:rsidR="00C11138" w:rsidRPr="00B06B9B">
        <w:rPr>
          <w:rFonts w:ascii="Times New Roman" w:hAnsi="Times New Roman" w:cs="Times New Roman"/>
          <w:sz w:val="24"/>
          <w:szCs w:val="24"/>
        </w:rPr>
        <w:t>,</w:t>
      </w:r>
      <w:r w:rsidR="00BD6C67" w:rsidRPr="00B06B9B">
        <w:rPr>
          <w:rFonts w:ascii="Times New Roman" w:hAnsi="Times New Roman" w:cs="Times New Roman"/>
          <w:sz w:val="24"/>
          <w:szCs w:val="24"/>
        </w:rPr>
        <w:t xml:space="preserve"> Business Center Club</w:t>
      </w:r>
      <w:r w:rsidR="00C11138" w:rsidRPr="00B06B9B">
        <w:rPr>
          <w:rFonts w:ascii="Times New Roman" w:hAnsi="Times New Roman" w:cs="Times New Roman"/>
          <w:sz w:val="24"/>
          <w:szCs w:val="24"/>
        </w:rPr>
        <w:t>,</w:t>
      </w:r>
      <w:r w:rsidR="00BD6C67" w:rsidRPr="00B06B9B">
        <w:rPr>
          <w:rFonts w:ascii="Times New Roman" w:hAnsi="Times New Roman" w:cs="Times New Roman"/>
          <w:sz w:val="24"/>
          <w:szCs w:val="24"/>
        </w:rPr>
        <w:t xml:space="preserve"> Krajow</w:t>
      </w:r>
      <w:r w:rsidR="00C11138" w:rsidRPr="00B06B9B">
        <w:rPr>
          <w:rFonts w:ascii="Times New Roman" w:hAnsi="Times New Roman" w:cs="Times New Roman"/>
          <w:sz w:val="24"/>
          <w:szCs w:val="24"/>
        </w:rPr>
        <w:t>ej</w:t>
      </w:r>
      <w:r w:rsidR="00BD6C67" w:rsidRPr="00B06B9B">
        <w:rPr>
          <w:rFonts w:ascii="Times New Roman" w:hAnsi="Times New Roman" w:cs="Times New Roman"/>
          <w:sz w:val="24"/>
          <w:szCs w:val="24"/>
        </w:rPr>
        <w:t xml:space="preserve"> Izb</w:t>
      </w:r>
      <w:r w:rsidR="00C11138" w:rsidRPr="00B06B9B">
        <w:rPr>
          <w:rFonts w:ascii="Times New Roman" w:hAnsi="Times New Roman" w:cs="Times New Roman"/>
          <w:sz w:val="24"/>
          <w:szCs w:val="24"/>
        </w:rPr>
        <w:t>y</w:t>
      </w:r>
      <w:r w:rsidR="00BD6C67" w:rsidRPr="00B06B9B">
        <w:rPr>
          <w:rFonts w:ascii="Times New Roman" w:hAnsi="Times New Roman" w:cs="Times New Roman"/>
          <w:sz w:val="24"/>
          <w:szCs w:val="24"/>
        </w:rPr>
        <w:t xml:space="preserve"> Gospodarcz</w:t>
      </w:r>
      <w:r w:rsidR="00C11138" w:rsidRPr="00B06B9B">
        <w:rPr>
          <w:rFonts w:ascii="Times New Roman" w:hAnsi="Times New Roman" w:cs="Times New Roman"/>
          <w:sz w:val="24"/>
          <w:szCs w:val="24"/>
        </w:rPr>
        <w:t xml:space="preserve">ej, </w:t>
      </w:r>
      <w:r w:rsidR="00BD6C67" w:rsidRPr="00B06B9B">
        <w:rPr>
          <w:rFonts w:ascii="Times New Roman" w:hAnsi="Times New Roman" w:cs="Times New Roman"/>
          <w:sz w:val="24"/>
          <w:szCs w:val="24"/>
        </w:rPr>
        <w:t>Związk</w:t>
      </w:r>
      <w:r w:rsidR="00C11138" w:rsidRPr="00B06B9B">
        <w:rPr>
          <w:rFonts w:ascii="Times New Roman" w:hAnsi="Times New Roman" w:cs="Times New Roman"/>
          <w:sz w:val="24"/>
          <w:szCs w:val="24"/>
        </w:rPr>
        <w:t>u</w:t>
      </w:r>
      <w:r w:rsidR="00BD6C67" w:rsidRPr="00B06B9B">
        <w:rPr>
          <w:rFonts w:ascii="Times New Roman" w:hAnsi="Times New Roman" w:cs="Times New Roman"/>
          <w:sz w:val="24"/>
          <w:szCs w:val="24"/>
        </w:rPr>
        <w:t xml:space="preserve"> Przedsiębiorstw Finansowych</w:t>
      </w:r>
      <w:r w:rsidR="00C11138" w:rsidRPr="00B06B9B">
        <w:rPr>
          <w:rFonts w:ascii="Times New Roman" w:hAnsi="Times New Roman" w:cs="Times New Roman"/>
          <w:sz w:val="24"/>
          <w:szCs w:val="24"/>
        </w:rPr>
        <w:t>,</w:t>
      </w:r>
      <w:r w:rsidR="00BD6C67" w:rsidRPr="00B06B9B">
        <w:rPr>
          <w:rFonts w:ascii="Times New Roman" w:hAnsi="Times New Roman" w:cs="Times New Roman"/>
          <w:sz w:val="24"/>
          <w:szCs w:val="24"/>
        </w:rPr>
        <w:t xml:space="preserve"> Pracodawc</w:t>
      </w:r>
      <w:r w:rsidR="00C11138" w:rsidRPr="00B06B9B">
        <w:rPr>
          <w:rFonts w:ascii="Times New Roman" w:hAnsi="Times New Roman" w:cs="Times New Roman"/>
          <w:sz w:val="24"/>
          <w:szCs w:val="24"/>
        </w:rPr>
        <w:t>ów</w:t>
      </w:r>
      <w:r w:rsidR="00BD6C67" w:rsidRPr="00B06B9B">
        <w:rPr>
          <w:rFonts w:ascii="Times New Roman" w:hAnsi="Times New Roman" w:cs="Times New Roman"/>
          <w:sz w:val="24"/>
          <w:szCs w:val="24"/>
        </w:rPr>
        <w:t xml:space="preserve"> Rzeczypospolitej Polskiej</w:t>
      </w:r>
      <w:r w:rsidR="00C11138" w:rsidRPr="00B06B9B">
        <w:rPr>
          <w:rFonts w:ascii="Times New Roman" w:hAnsi="Times New Roman" w:cs="Times New Roman"/>
          <w:sz w:val="24"/>
          <w:szCs w:val="24"/>
        </w:rPr>
        <w:t>,</w:t>
      </w:r>
      <w:r w:rsidR="00BD6C67" w:rsidRPr="00B06B9B">
        <w:rPr>
          <w:rFonts w:ascii="Times New Roman" w:hAnsi="Times New Roman" w:cs="Times New Roman"/>
          <w:sz w:val="24"/>
          <w:szCs w:val="24"/>
        </w:rPr>
        <w:t xml:space="preserve"> Polsk</w:t>
      </w:r>
      <w:r w:rsidR="00C11138" w:rsidRPr="00B06B9B">
        <w:rPr>
          <w:rFonts w:ascii="Times New Roman" w:hAnsi="Times New Roman" w:cs="Times New Roman"/>
          <w:sz w:val="24"/>
          <w:szCs w:val="24"/>
        </w:rPr>
        <w:t>iej</w:t>
      </w:r>
      <w:r w:rsidR="00BD6C67" w:rsidRPr="00B06B9B">
        <w:rPr>
          <w:rFonts w:ascii="Times New Roman" w:hAnsi="Times New Roman" w:cs="Times New Roman"/>
          <w:sz w:val="24"/>
          <w:szCs w:val="24"/>
        </w:rPr>
        <w:t xml:space="preserve"> Konfederacj</w:t>
      </w:r>
      <w:r w:rsidR="00C11138" w:rsidRPr="00B06B9B">
        <w:rPr>
          <w:rFonts w:ascii="Times New Roman" w:hAnsi="Times New Roman" w:cs="Times New Roman"/>
          <w:sz w:val="24"/>
          <w:szCs w:val="24"/>
        </w:rPr>
        <w:t>i</w:t>
      </w:r>
      <w:r w:rsidR="00BD6C67" w:rsidRPr="00B06B9B">
        <w:rPr>
          <w:rFonts w:ascii="Times New Roman" w:hAnsi="Times New Roman" w:cs="Times New Roman"/>
          <w:sz w:val="24"/>
          <w:szCs w:val="24"/>
        </w:rPr>
        <w:t xml:space="preserve"> Pracodawców Prywatnych „Lewiatan</w:t>
      </w:r>
      <w:r w:rsidR="00C11138" w:rsidRPr="00B06B9B">
        <w:rPr>
          <w:rFonts w:ascii="Times New Roman" w:hAnsi="Times New Roman" w:cs="Times New Roman"/>
          <w:sz w:val="24"/>
          <w:szCs w:val="24"/>
        </w:rPr>
        <w:t>”,</w:t>
      </w:r>
      <w:r w:rsidR="00BD6C67" w:rsidRPr="00B06B9B">
        <w:rPr>
          <w:rFonts w:ascii="Times New Roman" w:hAnsi="Times New Roman" w:cs="Times New Roman"/>
          <w:sz w:val="24"/>
          <w:szCs w:val="24"/>
        </w:rPr>
        <w:t xml:space="preserve"> Związk</w:t>
      </w:r>
      <w:r w:rsidR="00C11138" w:rsidRPr="00B06B9B">
        <w:rPr>
          <w:rFonts w:ascii="Times New Roman" w:hAnsi="Times New Roman" w:cs="Times New Roman"/>
          <w:sz w:val="24"/>
          <w:szCs w:val="24"/>
        </w:rPr>
        <w:t>u</w:t>
      </w:r>
      <w:r w:rsidR="00BD6C67" w:rsidRPr="00B06B9B">
        <w:rPr>
          <w:rFonts w:ascii="Times New Roman" w:hAnsi="Times New Roman" w:cs="Times New Roman"/>
          <w:sz w:val="24"/>
          <w:szCs w:val="24"/>
        </w:rPr>
        <w:t xml:space="preserve"> Przedsiębiorców i Pracodawców</w:t>
      </w:r>
      <w:r w:rsidR="00C11138" w:rsidRPr="00B06B9B">
        <w:rPr>
          <w:rFonts w:ascii="Times New Roman" w:hAnsi="Times New Roman" w:cs="Times New Roman"/>
          <w:sz w:val="24"/>
          <w:szCs w:val="24"/>
        </w:rPr>
        <w:t>,</w:t>
      </w:r>
      <w:r w:rsidR="00BD6C67" w:rsidRPr="00B06B9B">
        <w:rPr>
          <w:rFonts w:ascii="Times New Roman" w:hAnsi="Times New Roman" w:cs="Times New Roman"/>
          <w:sz w:val="24"/>
          <w:szCs w:val="24"/>
        </w:rPr>
        <w:t xml:space="preserve"> Związk</w:t>
      </w:r>
      <w:r w:rsidR="00C11138" w:rsidRPr="00B06B9B">
        <w:rPr>
          <w:rFonts w:ascii="Times New Roman" w:hAnsi="Times New Roman" w:cs="Times New Roman"/>
          <w:sz w:val="24"/>
          <w:szCs w:val="24"/>
        </w:rPr>
        <w:t>u</w:t>
      </w:r>
      <w:r w:rsidR="00BD6C67" w:rsidRPr="00B06B9B">
        <w:rPr>
          <w:rFonts w:ascii="Times New Roman" w:hAnsi="Times New Roman" w:cs="Times New Roman"/>
          <w:sz w:val="24"/>
          <w:szCs w:val="24"/>
        </w:rPr>
        <w:t xml:space="preserve"> Rzemiosła Polskiego</w:t>
      </w:r>
      <w:r w:rsidR="00C11138" w:rsidRPr="00B06B9B">
        <w:rPr>
          <w:rFonts w:ascii="Times New Roman" w:hAnsi="Times New Roman" w:cs="Times New Roman"/>
          <w:sz w:val="24"/>
          <w:szCs w:val="24"/>
        </w:rPr>
        <w:t>,</w:t>
      </w:r>
      <w:r w:rsidR="00BD6C67" w:rsidRPr="00B06B9B">
        <w:rPr>
          <w:rFonts w:ascii="Times New Roman" w:hAnsi="Times New Roman" w:cs="Times New Roman"/>
          <w:sz w:val="24"/>
          <w:szCs w:val="24"/>
        </w:rPr>
        <w:t xml:space="preserve"> Polsk</w:t>
      </w:r>
      <w:r w:rsidR="00C11138" w:rsidRPr="00B06B9B">
        <w:rPr>
          <w:rFonts w:ascii="Times New Roman" w:hAnsi="Times New Roman" w:cs="Times New Roman"/>
          <w:sz w:val="24"/>
          <w:szCs w:val="24"/>
        </w:rPr>
        <w:t>iej</w:t>
      </w:r>
      <w:r w:rsidR="00BD6C67" w:rsidRPr="00B06B9B">
        <w:rPr>
          <w:rFonts w:ascii="Times New Roman" w:hAnsi="Times New Roman" w:cs="Times New Roman"/>
          <w:sz w:val="24"/>
          <w:szCs w:val="24"/>
        </w:rPr>
        <w:t xml:space="preserve"> Rad</w:t>
      </w:r>
      <w:r w:rsidR="00C11138" w:rsidRPr="00B06B9B">
        <w:rPr>
          <w:rFonts w:ascii="Times New Roman" w:hAnsi="Times New Roman" w:cs="Times New Roman"/>
          <w:sz w:val="24"/>
          <w:szCs w:val="24"/>
        </w:rPr>
        <w:t>y</w:t>
      </w:r>
      <w:r w:rsidR="00BD6C67" w:rsidRPr="00B06B9B">
        <w:rPr>
          <w:rFonts w:ascii="Times New Roman" w:hAnsi="Times New Roman" w:cs="Times New Roman"/>
          <w:sz w:val="24"/>
          <w:szCs w:val="24"/>
        </w:rPr>
        <w:t xml:space="preserve"> Biznesu; Poczt</w:t>
      </w:r>
      <w:r w:rsidR="00C11138" w:rsidRPr="00B06B9B">
        <w:rPr>
          <w:rFonts w:ascii="Times New Roman" w:hAnsi="Times New Roman" w:cs="Times New Roman"/>
          <w:sz w:val="24"/>
          <w:szCs w:val="24"/>
        </w:rPr>
        <w:t>y</w:t>
      </w:r>
      <w:r w:rsidR="00BD6C67" w:rsidRPr="00B06B9B">
        <w:rPr>
          <w:rFonts w:ascii="Times New Roman" w:hAnsi="Times New Roman" w:cs="Times New Roman"/>
          <w:sz w:val="24"/>
          <w:szCs w:val="24"/>
        </w:rPr>
        <w:t xml:space="preserve"> Pols</w:t>
      </w:r>
      <w:r w:rsidR="00C11138" w:rsidRPr="00B06B9B">
        <w:rPr>
          <w:rFonts w:ascii="Times New Roman" w:hAnsi="Times New Roman" w:cs="Times New Roman"/>
          <w:sz w:val="24"/>
          <w:szCs w:val="24"/>
        </w:rPr>
        <w:t>kiej</w:t>
      </w:r>
      <w:r w:rsidR="00BD6C67" w:rsidRPr="00B06B9B">
        <w:rPr>
          <w:rFonts w:ascii="Times New Roman" w:hAnsi="Times New Roman" w:cs="Times New Roman"/>
          <w:sz w:val="24"/>
          <w:szCs w:val="24"/>
        </w:rPr>
        <w:t xml:space="preserve"> S.A.</w:t>
      </w:r>
      <w:r w:rsidR="00C11138" w:rsidRPr="00B06B9B">
        <w:rPr>
          <w:rFonts w:ascii="Times New Roman" w:hAnsi="Times New Roman" w:cs="Times New Roman"/>
          <w:sz w:val="24"/>
          <w:szCs w:val="24"/>
        </w:rPr>
        <w:t xml:space="preserve">, </w:t>
      </w:r>
      <w:r w:rsidR="00BD6C67" w:rsidRPr="00B06B9B">
        <w:rPr>
          <w:rFonts w:ascii="Times New Roman" w:hAnsi="Times New Roman" w:cs="Times New Roman"/>
          <w:sz w:val="24"/>
          <w:szCs w:val="24"/>
        </w:rPr>
        <w:t>Federacj</w:t>
      </w:r>
      <w:r w:rsidR="00C11138" w:rsidRPr="00B06B9B">
        <w:rPr>
          <w:rFonts w:ascii="Times New Roman" w:hAnsi="Times New Roman" w:cs="Times New Roman"/>
          <w:sz w:val="24"/>
          <w:szCs w:val="24"/>
        </w:rPr>
        <w:t>i</w:t>
      </w:r>
      <w:r w:rsidR="00BD6C67" w:rsidRPr="00B06B9B">
        <w:rPr>
          <w:rFonts w:ascii="Times New Roman" w:hAnsi="Times New Roman" w:cs="Times New Roman"/>
          <w:sz w:val="24"/>
          <w:szCs w:val="24"/>
        </w:rPr>
        <w:t xml:space="preserve"> Przedsiębiorców Polskich</w:t>
      </w:r>
      <w:r w:rsidR="00C11138" w:rsidRPr="00B06B9B">
        <w:rPr>
          <w:rFonts w:ascii="Times New Roman" w:hAnsi="Times New Roman" w:cs="Times New Roman"/>
          <w:sz w:val="24"/>
          <w:szCs w:val="24"/>
        </w:rPr>
        <w:t xml:space="preserve">, </w:t>
      </w:r>
      <w:r w:rsidR="00C11138" w:rsidRPr="0074012F">
        <w:rPr>
          <w:rFonts w:ascii="Times New Roman" w:hAnsi="Times New Roman" w:cs="Times New Roman"/>
          <w:sz w:val="24"/>
          <w:szCs w:val="24"/>
        </w:rPr>
        <w:t xml:space="preserve">Krajowej Rada Sądownictwa, Prokuratorii Generalnej RP, Prokuratora Krajowego, Sądów Apelacyjnych oraz do Sądu Najwyższego, Prezesa </w:t>
      </w:r>
      <w:r w:rsidR="00C11138" w:rsidRPr="0074012F">
        <w:rPr>
          <w:rFonts w:ascii="Times New Roman" w:eastAsia="Times New Roman" w:hAnsi="Times New Roman" w:cs="Times New Roman"/>
          <w:sz w:val="24"/>
          <w:szCs w:val="24"/>
          <w:lang w:eastAsia="pl-PL"/>
        </w:rPr>
        <w:t>Urzędu Ochrony Danych Osobowych</w:t>
      </w:r>
      <w:r w:rsidR="00FD40D2" w:rsidRPr="00B06B9B">
        <w:rPr>
          <w:rFonts w:ascii="Times New Roman" w:hAnsi="Times New Roman" w:cs="Times New Roman"/>
          <w:sz w:val="24"/>
          <w:szCs w:val="24"/>
        </w:rPr>
        <w:t>.</w:t>
      </w:r>
    </w:p>
    <w:p w14:paraId="2B2A9659" w14:textId="77777777" w:rsidR="00BD6C67" w:rsidRPr="00B06B9B" w:rsidRDefault="00BD6C67" w:rsidP="00B06B9B">
      <w:pPr>
        <w:autoSpaceDE w:val="0"/>
        <w:autoSpaceDN w:val="0"/>
        <w:adjustRightInd w:val="0"/>
        <w:spacing w:after="0" w:line="276" w:lineRule="auto"/>
        <w:ind w:firstLine="709"/>
        <w:jc w:val="both"/>
        <w:rPr>
          <w:rFonts w:ascii="Times New Roman" w:eastAsia="Times New Roman" w:hAnsi="Times New Roman" w:cs="Times New Roman"/>
          <w:sz w:val="24"/>
          <w:szCs w:val="24"/>
          <w:lang w:eastAsia="pl-PL"/>
        </w:rPr>
      </w:pPr>
    </w:p>
    <w:p w14:paraId="207A4B8F" w14:textId="77777777" w:rsidR="0074012F" w:rsidRPr="0074012F" w:rsidRDefault="0074012F" w:rsidP="00B06B9B">
      <w:pPr>
        <w:tabs>
          <w:tab w:val="left" w:pos="10773"/>
        </w:tabs>
        <w:spacing w:after="0" w:line="276" w:lineRule="auto"/>
        <w:jc w:val="both"/>
        <w:rPr>
          <w:rFonts w:ascii="Times New Roman" w:eastAsia="Times New Roman" w:hAnsi="Times New Roman" w:cs="Times New Roman"/>
          <w:sz w:val="24"/>
          <w:szCs w:val="24"/>
          <w:lang w:eastAsia="pl-PL"/>
        </w:rPr>
      </w:pPr>
    </w:p>
    <w:p w14:paraId="0EB18225" w14:textId="77777777" w:rsidR="0074012F" w:rsidRPr="0074012F" w:rsidRDefault="0074012F" w:rsidP="00B06B9B">
      <w:pPr>
        <w:autoSpaceDE w:val="0"/>
        <w:autoSpaceDN w:val="0"/>
        <w:adjustRightInd w:val="0"/>
        <w:spacing w:after="200" w:line="276" w:lineRule="auto"/>
        <w:ind w:firstLine="708"/>
        <w:jc w:val="both"/>
        <w:rPr>
          <w:rFonts w:ascii="Times New Roman" w:eastAsia="Times New Roman" w:hAnsi="Times New Roman" w:cs="Times New Roman"/>
          <w:sz w:val="24"/>
          <w:szCs w:val="24"/>
          <w:lang w:eastAsia="pl-PL"/>
        </w:rPr>
      </w:pPr>
      <w:r w:rsidRPr="0074012F">
        <w:rPr>
          <w:rFonts w:ascii="Times New Roman" w:eastAsia="Times New Roman" w:hAnsi="Times New Roman" w:cs="Times New Roman"/>
          <w:sz w:val="24"/>
          <w:szCs w:val="24"/>
          <w:lang w:eastAsia="pl-PL"/>
        </w:rPr>
        <w:t>Uwagi do projektu ustawy zgłosiły następujące podmioty:</w:t>
      </w:r>
    </w:p>
    <w:p w14:paraId="4ADA8D13" w14:textId="3572E1D2" w:rsidR="0074012F" w:rsidRPr="0074012F" w:rsidRDefault="00FD40D2" w:rsidP="00B06B9B">
      <w:pPr>
        <w:autoSpaceDE w:val="0"/>
        <w:autoSpaceDN w:val="0"/>
        <w:adjustRightInd w:val="0"/>
        <w:spacing w:after="200" w:line="276" w:lineRule="auto"/>
        <w:ind w:firstLine="708"/>
        <w:jc w:val="both"/>
        <w:rPr>
          <w:rFonts w:ascii="Times New Roman" w:eastAsia="Times New Roman" w:hAnsi="Times New Roman" w:cs="Times New Roman"/>
          <w:sz w:val="24"/>
          <w:szCs w:val="24"/>
          <w:lang w:eastAsia="pl-PL"/>
        </w:rPr>
      </w:pPr>
      <w:r w:rsidRPr="00B06B9B">
        <w:rPr>
          <w:rFonts w:ascii="Times New Roman" w:eastAsia="Times New Roman" w:hAnsi="Times New Roman" w:cs="Times New Roman"/>
          <w:sz w:val="24"/>
          <w:szCs w:val="24"/>
          <w:lang w:eastAsia="pl-PL"/>
        </w:rPr>
        <w:t xml:space="preserve">Poczta Polska S.A., </w:t>
      </w:r>
      <w:r w:rsidR="0074012F" w:rsidRPr="0074012F">
        <w:rPr>
          <w:rFonts w:ascii="Times New Roman" w:eastAsia="Times New Roman" w:hAnsi="Times New Roman" w:cs="Times New Roman"/>
          <w:sz w:val="24"/>
          <w:szCs w:val="24"/>
          <w:lang w:eastAsia="pl-PL"/>
        </w:rPr>
        <w:t>Prezes Urzędu Ochrony Danych Osobowych,</w:t>
      </w:r>
      <w:r w:rsidR="001E5738">
        <w:rPr>
          <w:rFonts w:ascii="Times New Roman" w:eastAsia="Times New Roman" w:hAnsi="Times New Roman" w:cs="Times New Roman"/>
          <w:sz w:val="24"/>
          <w:szCs w:val="24"/>
          <w:lang w:eastAsia="pl-PL"/>
        </w:rPr>
        <w:t xml:space="preserve"> INSO Sekcja Prawa Upadłościowego i Restrukturyzacyjnego Instytut Allerhanda </w:t>
      </w:r>
      <w:r w:rsidR="00503EEB">
        <w:rPr>
          <w:rFonts w:ascii="Times New Roman" w:eastAsia="Times New Roman" w:hAnsi="Times New Roman" w:cs="Times New Roman"/>
          <w:sz w:val="24"/>
          <w:szCs w:val="24"/>
          <w:lang w:eastAsia="pl-PL"/>
        </w:rPr>
        <w:t>oraz</w:t>
      </w:r>
      <w:r w:rsidRPr="00B06B9B">
        <w:rPr>
          <w:rFonts w:ascii="Times New Roman" w:eastAsia="Times New Roman" w:hAnsi="Times New Roman" w:cs="Times New Roman"/>
          <w:sz w:val="24"/>
          <w:szCs w:val="24"/>
          <w:lang w:eastAsia="pl-PL"/>
        </w:rPr>
        <w:t xml:space="preserve"> Krajowa Izba Doradców Restrukturyzacyjnych</w:t>
      </w:r>
      <w:r w:rsidR="0074012F" w:rsidRPr="0087334D">
        <w:rPr>
          <w:rFonts w:ascii="Times New Roman" w:eastAsia="Times New Roman" w:hAnsi="Times New Roman" w:cs="Times New Roman"/>
          <w:bCs/>
          <w:sz w:val="24"/>
          <w:szCs w:val="24"/>
          <w:lang w:eastAsia="pl-PL"/>
        </w:rPr>
        <w:t>.</w:t>
      </w:r>
      <w:r w:rsidR="0074012F" w:rsidRPr="0087334D">
        <w:rPr>
          <w:rFonts w:ascii="Times New Roman" w:eastAsia="Times New Roman" w:hAnsi="Times New Roman" w:cs="Times New Roman"/>
          <w:sz w:val="24"/>
          <w:szCs w:val="24"/>
          <w:lang w:eastAsia="pl-PL"/>
        </w:rPr>
        <w:t xml:space="preserve"> </w:t>
      </w:r>
    </w:p>
    <w:p w14:paraId="329F9E45" w14:textId="4D89559B" w:rsidR="00B06B9B" w:rsidRPr="00B06B9B" w:rsidRDefault="0074012F" w:rsidP="00B06B9B">
      <w:pPr>
        <w:jc w:val="both"/>
        <w:rPr>
          <w:rFonts w:ascii="Times New Roman" w:hAnsi="Times New Roman" w:cs="Times New Roman"/>
          <w:sz w:val="24"/>
          <w:szCs w:val="24"/>
        </w:rPr>
      </w:pPr>
      <w:r w:rsidRPr="0074012F">
        <w:rPr>
          <w:rFonts w:ascii="Times New Roman" w:eastAsia="Times New Roman" w:hAnsi="Times New Roman" w:cs="Times New Roman"/>
          <w:sz w:val="24"/>
          <w:szCs w:val="24"/>
          <w:lang w:eastAsia="pl-PL"/>
        </w:rPr>
        <w:t>Uwagi odnosiły się do</w:t>
      </w:r>
      <w:r w:rsidR="00FD40D2" w:rsidRPr="00B06B9B">
        <w:rPr>
          <w:rFonts w:ascii="Times New Roman" w:eastAsia="Times New Roman" w:hAnsi="Times New Roman" w:cs="Times New Roman"/>
          <w:sz w:val="24"/>
          <w:szCs w:val="24"/>
          <w:lang w:eastAsia="pl-PL"/>
        </w:rPr>
        <w:t xml:space="preserve"> dokumentacji umieszczanej w aktach prowadzonych przez </w:t>
      </w:r>
      <w:r w:rsidR="008D589C">
        <w:rPr>
          <w:rFonts w:ascii="Times New Roman" w:eastAsia="Times New Roman" w:hAnsi="Times New Roman" w:cs="Times New Roman"/>
          <w:sz w:val="24"/>
          <w:szCs w:val="24"/>
          <w:lang w:eastAsia="pl-PL"/>
        </w:rPr>
        <w:t>doradcę restrukturyzacyjnego</w:t>
      </w:r>
      <w:r w:rsidR="007C41FE" w:rsidRPr="00B06B9B">
        <w:rPr>
          <w:rFonts w:ascii="Times New Roman" w:eastAsia="Times New Roman" w:hAnsi="Times New Roman" w:cs="Times New Roman"/>
          <w:sz w:val="24"/>
          <w:szCs w:val="24"/>
          <w:lang w:eastAsia="pl-PL"/>
        </w:rPr>
        <w:t xml:space="preserve">, w tym uwzględniania </w:t>
      </w:r>
      <w:r w:rsidR="007C41FE" w:rsidRPr="00B06B9B">
        <w:rPr>
          <w:rFonts w:ascii="Times New Roman" w:hAnsi="Times New Roman" w:cs="Times New Roman"/>
          <w:sz w:val="24"/>
          <w:szCs w:val="24"/>
        </w:rPr>
        <w:t xml:space="preserve">dokumentów w wersji elektronicznej, przesłanych i otrzymywanych za pośrednictwem publicznej usługi rejestrowanego doręczenia elektronicznego, o której mowa w ustawie z dnia 28 listopada 2020 r. o doręczeniach elektronicznych (Dz. U poz. 2320 z </w:t>
      </w:r>
      <w:proofErr w:type="spellStart"/>
      <w:r w:rsidR="007C41FE" w:rsidRPr="00B06B9B">
        <w:rPr>
          <w:rFonts w:ascii="Times New Roman" w:hAnsi="Times New Roman" w:cs="Times New Roman"/>
          <w:sz w:val="24"/>
          <w:szCs w:val="24"/>
        </w:rPr>
        <w:t>poźn</w:t>
      </w:r>
      <w:proofErr w:type="spellEnd"/>
      <w:r w:rsidR="007C41FE" w:rsidRPr="00B06B9B">
        <w:rPr>
          <w:rFonts w:ascii="Times New Roman" w:hAnsi="Times New Roman" w:cs="Times New Roman"/>
          <w:sz w:val="24"/>
          <w:szCs w:val="24"/>
        </w:rPr>
        <w:t>. zm.)</w:t>
      </w:r>
      <w:r w:rsidR="00FB796A">
        <w:rPr>
          <w:rFonts w:ascii="Times New Roman" w:hAnsi="Times New Roman" w:cs="Times New Roman"/>
          <w:sz w:val="24"/>
          <w:szCs w:val="24"/>
        </w:rPr>
        <w:t xml:space="preserve">. Ponadto uwagi dotyczyły </w:t>
      </w:r>
      <w:r w:rsidR="007C41FE" w:rsidRPr="00B06B9B">
        <w:rPr>
          <w:rFonts w:ascii="Times New Roman" w:hAnsi="Times New Roman" w:cs="Times New Roman"/>
          <w:sz w:val="24"/>
          <w:szCs w:val="24"/>
        </w:rPr>
        <w:t>zakresu wprowadzanych danych, w tym danych wrażliwych</w:t>
      </w:r>
      <w:r w:rsidR="00B06B9B" w:rsidRPr="00B06B9B">
        <w:rPr>
          <w:rFonts w:ascii="Times New Roman" w:hAnsi="Times New Roman" w:cs="Times New Roman"/>
          <w:sz w:val="24"/>
          <w:szCs w:val="24"/>
        </w:rPr>
        <w:t xml:space="preserve">. </w:t>
      </w:r>
      <w:r w:rsidR="00FB796A">
        <w:rPr>
          <w:rFonts w:ascii="Times New Roman" w:hAnsi="Times New Roman" w:cs="Times New Roman"/>
          <w:sz w:val="24"/>
          <w:szCs w:val="24"/>
        </w:rPr>
        <w:t>Z</w:t>
      </w:r>
      <w:r w:rsidR="00B06B9B" w:rsidRPr="00B06B9B">
        <w:rPr>
          <w:rFonts w:ascii="Times New Roman" w:hAnsi="Times New Roman" w:cs="Times New Roman"/>
          <w:sz w:val="24"/>
          <w:szCs w:val="24"/>
        </w:rPr>
        <w:t xml:space="preserve">głoszono </w:t>
      </w:r>
      <w:r w:rsidR="00FB796A">
        <w:rPr>
          <w:rFonts w:ascii="Times New Roman" w:hAnsi="Times New Roman" w:cs="Times New Roman"/>
          <w:sz w:val="24"/>
          <w:szCs w:val="24"/>
        </w:rPr>
        <w:t xml:space="preserve">uwagę </w:t>
      </w:r>
      <w:r w:rsidR="00B06B9B" w:rsidRPr="00B06B9B">
        <w:rPr>
          <w:rFonts w:ascii="Times New Roman" w:hAnsi="Times New Roman" w:cs="Times New Roman"/>
          <w:sz w:val="24"/>
          <w:szCs w:val="24"/>
        </w:rPr>
        <w:t>dotycząc</w:t>
      </w:r>
      <w:r w:rsidR="00FB796A">
        <w:rPr>
          <w:rFonts w:ascii="Times New Roman" w:hAnsi="Times New Roman" w:cs="Times New Roman"/>
          <w:sz w:val="24"/>
          <w:szCs w:val="24"/>
        </w:rPr>
        <w:t>ą</w:t>
      </w:r>
      <w:r w:rsidR="00B06B9B" w:rsidRPr="00B06B9B">
        <w:rPr>
          <w:rFonts w:ascii="Times New Roman" w:hAnsi="Times New Roman" w:cs="Times New Roman"/>
          <w:sz w:val="24"/>
          <w:szCs w:val="24"/>
        </w:rPr>
        <w:t xml:space="preserve"> rozważenia braku konieczności dołączania do akt pism zawiadamiających wysyłanych do wszystkich wierzycieli. a w konsekwencji celowe byłoby ograniczenie się do pozostawienia w aktach treści pisma i dowodów nadania oraz zwrotnych potwierdzeń odbioru adresatów, bez konieczności </w:t>
      </w:r>
      <w:r w:rsidR="00B06B9B" w:rsidRPr="00B06B9B">
        <w:rPr>
          <w:rFonts w:ascii="Times New Roman" w:hAnsi="Times New Roman" w:cs="Times New Roman"/>
          <w:sz w:val="24"/>
          <w:szCs w:val="24"/>
        </w:rPr>
        <w:lastRenderedPageBreak/>
        <w:t xml:space="preserve">multiplikowania kompletnych pism tej samej treści. </w:t>
      </w:r>
      <w:r w:rsidR="00703D5B">
        <w:rPr>
          <w:rFonts w:ascii="Times New Roman" w:hAnsi="Times New Roman" w:cs="Times New Roman"/>
          <w:sz w:val="24"/>
          <w:szCs w:val="24"/>
        </w:rPr>
        <w:t>Ponadto zgłoszono uwagi o charakterze redakcyjnym.</w:t>
      </w:r>
    </w:p>
    <w:p w14:paraId="12ABD561" w14:textId="30878274" w:rsidR="00FD40D2" w:rsidRPr="00B06B9B" w:rsidRDefault="00FD40D2" w:rsidP="00B06B9B">
      <w:pPr>
        <w:autoSpaceDE w:val="0"/>
        <w:autoSpaceDN w:val="0"/>
        <w:adjustRightInd w:val="0"/>
        <w:spacing w:after="200" w:line="276" w:lineRule="auto"/>
        <w:ind w:firstLine="708"/>
        <w:jc w:val="both"/>
        <w:rPr>
          <w:rFonts w:ascii="Times New Roman" w:eastAsia="Times New Roman" w:hAnsi="Times New Roman" w:cs="Times New Roman"/>
          <w:sz w:val="24"/>
          <w:szCs w:val="24"/>
          <w:lang w:eastAsia="pl-PL"/>
        </w:rPr>
      </w:pPr>
    </w:p>
    <w:p w14:paraId="14F540FA" w14:textId="77777777" w:rsidR="0074012F" w:rsidRPr="0074012F" w:rsidRDefault="0074012F" w:rsidP="00B06B9B">
      <w:pPr>
        <w:autoSpaceDE w:val="0"/>
        <w:autoSpaceDN w:val="0"/>
        <w:adjustRightInd w:val="0"/>
        <w:spacing w:after="200" w:line="276" w:lineRule="auto"/>
        <w:ind w:firstLine="708"/>
        <w:jc w:val="both"/>
        <w:rPr>
          <w:rFonts w:ascii="Times New Roman" w:eastAsia="Times New Roman" w:hAnsi="Times New Roman" w:cs="Times New Roman"/>
          <w:sz w:val="24"/>
          <w:szCs w:val="24"/>
          <w:lang w:eastAsia="pl-PL"/>
        </w:rPr>
      </w:pPr>
      <w:r w:rsidRPr="0074012F">
        <w:rPr>
          <w:rFonts w:ascii="Times New Roman" w:eastAsia="Times New Roman" w:hAnsi="Times New Roman" w:cs="Times New Roman"/>
          <w:sz w:val="24"/>
          <w:szCs w:val="24"/>
          <w:lang w:eastAsia="pl-PL"/>
        </w:rPr>
        <w:t xml:space="preserve">Projekt został udostępniony w Biuletynie Informacji Publicznej na stronie podmiotowej Rządowego Centrum Legislacji. </w:t>
      </w:r>
    </w:p>
    <w:p w14:paraId="1FCA76BD" w14:textId="77777777" w:rsidR="0074012F" w:rsidRPr="0074012F" w:rsidRDefault="0074012F" w:rsidP="00B06B9B">
      <w:pPr>
        <w:spacing w:after="0" w:line="240" w:lineRule="auto"/>
        <w:jc w:val="both"/>
        <w:rPr>
          <w:rFonts w:ascii="Times New Roman" w:eastAsia="Times New Roman" w:hAnsi="Times New Roman" w:cs="Times New Roman"/>
          <w:sz w:val="24"/>
          <w:szCs w:val="24"/>
          <w:lang w:eastAsia="pl-PL"/>
        </w:rPr>
      </w:pPr>
    </w:p>
    <w:p w14:paraId="3539E1D0" w14:textId="77777777" w:rsidR="0074012F" w:rsidRPr="0074012F" w:rsidRDefault="0074012F" w:rsidP="00B06B9B">
      <w:pPr>
        <w:spacing w:after="0" w:line="240" w:lineRule="auto"/>
        <w:jc w:val="both"/>
        <w:rPr>
          <w:rFonts w:ascii="Times New Roman" w:eastAsia="Times New Roman" w:hAnsi="Times New Roman" w:cs="Times New Roman"/>
          <w:sz w:val="24"/>
          <w:szCs w:val="24"/>
          <w:lang w:eastAsia="pl-PL"/>
        </w:rPr>
      </w:pPr>
      <w:r w:rsidRPr="0074012F">
        <w:rPr>
          <w:rFonts w:ascii="Times New Roman" w:eastAsia="Times New Roman" w:hAnsi="Times New Roman" w:cs="Times New Roman"/>
          <w:sz w:val="24"/>
          <w:szCs w:val="24"/>
          <w:lang w:eastAsia="pl-PL"/>
        </w:rPr>
        <w:t xml:space="preserve">Do projektu zostały zgłoszone poniższe uwagi. </w:t>
      </w:r>
    </w:p>
    <w:tbl>
      <w:tblPr>
        <w:tblStyle w:val="Tabela-Siatka"/>
        <w:tblW w:w="9924" w:type="dxa"/>
        <w:tblInd w:w="-431" w:type="dxa"/>
        <w:tblLook w:val="04A0" w:firstRow="1" w:lastRow="0" w:firstColumn="1" w:lastColumn="0" w:noHBand="0" w:noVBand="1"/>
      </w:tblPr>
      <w:tblGrid>
        <w:gridCol w:w="694"/>
        <w:gridCol w:w="2014"/>
        <w:gridCol w:w="1336"/>
        <w:gridCol w:w="2733"/>
        <w:gridCol w:w="3147"/>
      </w:tblGrid>
      <w:tr w:rsidR="008D589C" w:rsidRPr="008D589C" w14:paraId="71529B1C" w14:textId="77777777" w:rsidTr="008D589C">
        <w:tc>
          <w:tcPr>
            <w:tcW w:w="694" w:type="dxa"/>
          </w:tcPr>
          <w:p w14:paraId="1215C638" w14:textId="77777777" w:rsidR="008D589C" w:rsidRPr="008D589C" w:rsidRDefault="008D589C" w:rsidP="008D589C">
            <w:pPr>
              <w:spacing w:after="160" w:line="259" w:lineRule="auto"/>
              <w:rPr>
                <w:rFonts w:cstheme="minorHAnsi"/>
                <w:b/>
                <w:sz w:val="20"/>
                <w:szCs w:val="20"/>
              </w:rPr>
            </w:pPr>
            <w:r w:rsidRPr="008D589C">
              <w:rPr>
                <w:rFonts w:cstheme="minorHAnsi"/>
                <w:b/>
                <w:sz w:val="20"/>
                <w:szCs w:val="20"/>
              </w:rPr>
              <w:t>Lp.</w:t>
            </w:r>
          </w:p>
        </w:tc>
        <w:tc>
          <w:tcPr>
            <w:tcW w:w="2014" w:type="dxa"/>
          </w:tcPr>
          <w:p w14:paraId="6862207E" w14:textId="77777777" w:rsidR="008D589C" w:rsidRPr="008D589C" w:rsidRDefault="008D589C" w:rsidP="008D589C">
            <w:pPr>
              <w:spacing w:after="160" w:line="259" w:lineRule="auto"/>
              <w:rPr>
                <w:rFonts w:cstheme="minorHAnsi"/>
                <w:b/>
                <w:sz w:val="20"/>
                <w:szCs w:val="20"/>
              </w:rPr>
            </w:pPr>
            <w:r w:rsidRPr="008D589C">
              <w:rPr>
                <w:rFonts w:cstheme="minorHAnsi"/>
                <w:b/>
                <w:sz w:val="20"/>
                <w:szCs w:val="20"/>
              </w:rPr>
              <w:t xml:space="preserve">Zgłaszający </w:t>
            </w:r>
          </w:p>
          <w:p w14:paraId="17856CEC" w14:textId="77777777" w:rsidR="008D589C" w:rsidRPr="008D589C" w:rsidRDefault="008D589C" w:rsidP="008D589C">
            <w:pPr>
              <w:spacing w:after="160" w:line="259" w:lineRule="auto"/>
              <w:rPr>
                <w:rFonts w:cstheme="minorHAnsi"/>
                <w:b/>
                <w:sz w:val="20"/>
                <w:szCs w:val="20"/>
              </w:rPr>
            </w:pPr>
            <w:r w:rsidRPr="008D589C">
              <w:rPr>
                <w:rFonts w:cstheme="minorHAnsi"/>
                <w:b/>
                <w:sz w:val="20"/>
                <w:szCs w:val="20"/>
              </w:rPr>
              <w:t>uwagę</w:t>
            </w:r>
          </w:p>
        </w:tc>
        <w:tc>
          <w:tcPr>
            <w:tcW w:w="1336" w:type="dxa"/>
          </w:tcPr>
          <w:p w14:paraId="74B069D4" w14:textId="77777777" w:rsidR="008D589C" w:rsidRPr="008D589C" w:rsidRDefault="008D589C" w:rsidP="008D589C">
            <w:pPr>
              <w:spacing w:after="160" w:line="259" w:lineRule="auto"/>
              <w:rPr>
                <w:rFonts w:cstheme="minorHAnsi"/>
                <w:b/>
                <w:sz w:val="20"/>
                <w:szCs w:val="20"/>
              </w:rPr>
            </w:pPr>
            <w:r w:rsidRPr="008D589C">
              <w:rPr>
                <w:rFonts w:cstheme="minorHAnsi"/>
                <w:b/>
                <w:sz w:val="20"/>
                <w:szCs w:val="20"/>
              </w:rPr>
              <w:t>Uwaga dotyczy</w:t>
            </w:r>
          </w:p>
        </w:tc>
        <w:tc>
          <w:tcPr>
            <w:tcW w:w="2733" w:type="dxa"/>
          </w:tcPr>
          <w:p w14:paraId="2ED8F0E3" w14:textId="77777777" w:rsidR="008D589C" w:rsidRPr="008D589C" w:rsidRDefault="008D589C" w:rsidP="008D589C">
            <w:pPr>
              <w:spacing w:after="160" w:line="259" w:lineRule="auto"/>
              <w:rPr>
                <w:rFonts w:cstheme="minorHAnsi"/>
                <w:b/>
                <w:sz w:val="20"/>
                <w:szCs w:val="20"/>
              </w:rPr>
            </w:pPr>
            <w:r w:rsidRPr="008D589C">
              <w:rPr>
                <w:rFonts w:cstheme="minorHAnsi"/>
                <w:b/>
                <w:sz w:val="20"/>
                <w:szCs w:val="20"/>
              </w:rPr>
              <w:t>Treść uwagi</w:t>
            </w:r>
          </w:p>
        </w:tc>
        <w:tc>
          <w:tcPr>
            <w:tcW w:w="3147" w:type="dxa"/>
          </w:tcPr>
          <w:p w14:paraId="539E0C81" w14:textId="77777777" w:rsidR="008D589C" w:rsidRPr="008D589C" w:rsidRDefault="008D589C" w:rsidP="008D589C">
            <w:pPr>
              <w:spacing w:after="160" w:line="259" w:lineRule="auto"/>
              <w:rPr>
                <w:rFonts w:cstheme="minorHAnsi"/>
                <w:b/>
                <w:sz w:val="20"/>
                <w:szCs w:val="20"/>
              </w:rPr>
            </w:pPr>
            <w:r w:rsidRPr="008D589C">
              <w:rPr>
                <w:rFonts w:cstheme="minorHAnsi"/>
                <w:b/>
                <w:sz w:val="20"/>
                <w:szCs w:val="20"/>
              </w:rPr>
              <w:t>Odniesienie się do uwagi</w:t>
            </w:r>
          </w:p>
        </w:tc>
      </w:tr>
      <w:tr w:rsidR="008D589C" w:rsidRPr="008D589C" w14:paraId="16FC087E" w14:textId="77777777" w:rsidTr="008D589C">
        <w:tc>
          <w:tcPr>
            <w:tcW w:w="694" w:type="dxa"/>
          </w:tcPr>
          <w:p w14:paraId="05ACD07F" w14:textId="45C1A393" w:rsidR="008D589C" w:rsidRPr="008D589C" w:rsidRDefault="008D589C" w:rsidP="008D589C">
            <w:pPr>
              <w:rPr>
                <w:rFonts w:cstheme="minorHAnsi"/>
                <w:b/>
                <w:sz w:val="20"/>
                <w:szCs w:val="20"/>
              </w:rPr>
            </w:pPr>
            <w:r w:rsidRPr="008D589C">
              <w:rPr>
                <w:rFonts w:cstheme="minorHAnsi"/>
                <w:b/>
                <w:sz w:val="20"/>
                <w:szCs w:val="20"/>
              </w:rPr>
              <w:t>1.</w:t>
            </w:r>
          </w:p>
        </w:tc>
        <w:tc>
          <w:tcPr>
            <w:tcW w:w="2014" w:type="dxa"/>
          </w:tcPr>
          <w:p w14:paraId="51C74C36" w14:textId="77777777" w:rsidR="008D589C" w:rsidRPr="008D589C" w:rsidRDefault="008D589C" w:rsidP="008D589C">
            <w:pPr>
              <w:rPr>
                <w:rFonts w:cstheme="minorHAnsi"/>
                <w:b/>
                <w:sz w:val="20"/>
                <w:szCs w:val="20"/>
              </w:rPr>
            </w:pPr>
            <w:r w:rsidRPr="008D589C">
              <w:rPr>
                <w:rFonts w:cstheme="minorHAnsi"/>
                <w:b/>
                <w:sz w:val="20"/>
                <w:szCs w:val="20"/>
              </w:rPr>
              <w:t>Prezes Urzędu Ochrony Danych Osobowych</w:t>
            </w:r>
          </w:p>
        </w:tc>
        <w:tc>
          <w:tcPr>
            <w:tcW w:w="1336" w:type="dxa"/>
          </w:tcPr>
          <w:p w14:paraId="65C396AC" w14:textId="77777777" w:rsidR="008D589C" w:rsidRPr="008D589C" w:rsidRDefault="008D589C" w:rsidP="008D589C">
            <w:pPr>
              <w:rPr>
                <w:rFonts w:cstheme="minorHAnsi"/>
                <w:b/>
                <w:bCs/>
                <w:sz w:val="20"/>
                <w:szCs w:val="20"/>
              </w:rPr>
            </w:pPr>
            <w:r w:rsidRPr="008D589C">
              <w:rPr>
                <w:rFonts w:cstheme="minorHAnsi"/>
                <w:b/>
                <w:bCs/>
                <w:sz w:val="20"/>
                <w:szCs w:val="20"/>
              </w:rPr>
              <w:t>§ 7 ust. 5 zdanie pierwsze, § 8 ust. 3 pkt 5, § 12 ust. 3 zdanie pierwsze i § 13 pkt 5</w:t>
            </w:r>
          </w:p>
        </w:tc>
        <w:tc>
          <w:tcPr>
            <w:tcW w:w="2733" w:type="dxa"/>
          </w:tcPr>
          <w:p w14:paraId="1B782345" w14:textId="77777777" w:rsidR="008D589C" w:rsidRPr="008D589C" w:rsidRDefault="008D589C" w:rsidP="008D589C">
            <w:pPr>
              <w:rPr>
                <w:rFonts w:cstheme="minorHAnsi"/>
                <w:sz w:val="20"/>
                <w:szCs w:val="20"/>
              </w:rPr>
            </w:pPr>
            <w:r w:rsidRPr="008D589C">
              <w:rPr>
                <w:rFonts w:cstheme="minorHAnsi"/>
                <w:sz w:val="20"/>
                <w:szCs w:val="20"/>
              </w:rPr>
              <w:t xml:space="preserve">co do potrzeby zmiany brzmienia: § 7 ust. 5 zdanie pierwsze, § 8 ust. 3 pkt 5, § 12 ust. 3 zdanie pierwsze i § 13 pkt 5 projektu. We wszystkich przywołanych przepisach projektu znalazło się bowiem sformułowanie „[…] inne dane umożliwiające identyfikację, w szczególności…”. Takie ujęcie dyspozycji komentowanych przepisów skutkowałoby możliwością zamieszczania w dokumentacji prowadzonej przez nadzorcę układu dowolnych danych: osoby, której udostępniono akta sprawy (§ 7 ust. 5 zdanie pierwsze projektu), dłużnika (§ 8 ust. 3 pkt 5 i § 13 pkt 5 projektu), osoby, której udostępniono zbiór dokumentów (§ 12 ust. 3 zdanie pierwsze projektu), jeśli osoby te nie posiadają numeru PESEL (albo numeru w Krajowym Rejestrze Sądowym w odniesieniu do dłużnika). Tym samym powołane przepisy projektu mogą stwarzać ryzyko naruszenia – gwarantowanych przez RODO – praw wskazanych w nich osób. Dlatego – kierując się zasadą przejrzystości (art. 5 ust. 1 lit. a RODO) i zasadą minimalizacji danych (art. 5 ust. 1 lit. c RODO) – organ nadzorczy sugeruje rozważenie przez Projektodawcę doprecyzowania § 7 ust. 5 </w:t>
            </w:r>
            <w:r w:rsidRPr="008D589C">
              <w:rPr>
                <w:rFonts w:cstheme="minorHAnsi"/>
                <w:sz w:val="20"/>
                <w:szCs w:val="20"/>
              </w:rPr>
              <w:lastRenderedPageBreak/>
              <w:t xml:space="preserve">zdanie pierwsze, § 8 ust. 3 pkt 5, § 12 ust. 3 zdanie pierwsze i § 13 pkt 5 projektu, by z przepisów tych jednoznacznie wynikało, jakie dane: dłużnika, osoby, której udostępniono akta sprawy, osoby, której udostępniono zbiór dokumentów, nieposiadających numerów PESEL (numerów w Krajowym Rejestrze Sądowym), mogą być przetwarzane przez nadzorcę układu. Jednocześnie organ właściwy w sprawie ochrony danych osobowych proponuje usunięcie sformułowania „w szczególności” z § 13 in </w:t>
            </w:r>
            <w:proofErr w:type="spellStart"/>
            <w:r w:rsidRPr="008D589C">
              <w:rPr>
                <w:rFonts w:cstheme="minorHAnsi"/>
                <w:sz w:val="20"/>
                <w:szCs w:val="20"/>
              </w:rPr>
              <w:t>principio</w:t>
            </w:r>
            <w:proofErr w:type="spellEnd"/>
            <w:r w:rsidRPr="008D589C">
              <w:rPr>
                <w:rFonts w:cstheme="minorHAnsi"/>
                <w:sz w:val="20"/>
                <w:szCs w:val="20"/>
              </w:rPr>
              <w:t xml:space="preserve"> projektu (na wzór prawidłowego rozwiązania przyjętego w § 8 ust. 3 in </w:t>
            </w:r>
            <w:proofErr w:type="spellStart"/>
            <w:r w:rsidRPr="008D589C">
              <w:rPr>
                <w:rFonts w:cstheme="minorHAnsi"/>
                <w:sz w:val="20"/>
                <w:szCs w:val="20"/>
              </w:rPr>
              <w:t>principio</w:t>
            </w:r>
            <w:proofErr w:type="spellEnd"/>
            <w:r w:rsidRPr="008D589C">
              <w:rPr>
                <w:rFonts w:cstheme="minorHAnsi"/>
                <w:sz w:val="20"/>
                <w:szCs w:val="20"/>
              </w:rPr>
              <w:t xml:space="preserve"> projektu).</w:t>
            </w:r>
          </w:p>
        </w:tc>
        <w:tc>
          <w:tcPr>
            <w:tcW w:w="3147" w:type="dxa"/>
          </w:tcPr>
          <w:p w14:paraId="6AEDDF49" w14:textId="77777777" w:rsidR="008D589C" w:rsidRPr="008D589C" w:rsidRDefault="008D589C" w:rsidP="008D589C">
            <w:pPr>
              <w:rPr>
                <w:rFonts w:cstheme="minorHAnsi"/>
                <w:bCs/>
                <w:sz w:val="20"/>
                <w:szCs w:val="20"/>
              </w:rPr>
            </w:pPr>
            <w:r w:rsidRPr="008D589C">
              <w:rPr>
                <w:rFonts w:cstheme="minorHAnsi"/>
                <w:b/>
                <w:sz w:val="20"/>
                <w:szCs w:val="20"/>
              </w:rPr>
              <w:lastRenderedPageBreak/>
              <w:t xml:space="preserve">Uwagi uwzględniono częściowo, </w:t>
            </w:r>
            <w:r w:rsidRPr="008D589C">
              <w:rPr>
                <w:rFonts w:cstheme="minorHAnsi"/>
                <w:bCs/>
                <w:sz w:val="20"/>
                <w:szCs w:val="20"/>
              </w:rPr>
              <w:t xml:space="preserve">wykreślono z treści zakwestionowanych przepisów tj.: </w:t>
            </w:r>
            <w:r w:rsidRPr="008D589C">
              <w:rPr>
                <w:rFonts w:cstheme="minorHAnsi"/>
                <w:sz w:val="20"/>
                <w:szCs w:val="20"/>
              </w:rPr>
              <w:t xml:space="preserve">§ 13 </w:t>
            </w:r>
            <w:r w:rsidRPr="008D589C">
              <w:rPr>
                <w:rFonts w:cstheme="minorHAnsi"/>
                <w:bCs/>
                <w:sz w:val="20"/>
                <w:szCs w:val="20"/>
              </w:rPr>
              <w:t>sformułowanie: „w szczególności”.</w:t>
            </w:r>
          </w:p>
          <w:p w14:paraId="429BEFD3" w14:textId="77777777" w:rsidR="008D589C" w:rsidRPr="008D589C" w:rsidRDefault="008D589C" w:rsidP="008D589C">
            <w:pPr>
              <w:rPr>
                <w:rFonts w:cstheme="minorHAnsi"/>
                <w:sz w:val="20"/>
                <w:szCs w:val="20"/>
              </w:rPr>
            </w:pPr>
            <w:r w:rsidRPr="008D589C">
              <w:rPr>
                <w:rFonts w:cstheme="minorHAnsi"/>
                <w:b/>
                <w:bCs/>
                <w:sz w:val="20"/>
                <w:szCs w:val="20"/>
              </w:rPr>
              <w:t xml:space="preserve">W zakresie uwag co do zmiany brzmienia </w:t>
            </w:r>
            <w:r w:rsidRPr="008D589C">
              <w:rPr>
                <w:rFonts w:cstheme="minorHAnsi"/>
                <w:sz w:val="20"/>
                <w:szCs w:val="20"/>
              </w:rPr>
              <w:t>§ 7 ust. 5 zdanie pierwsze projektu, § 12 ust. 3 zdanie pierwsze projektu – uwagi są nieaktualne, gdyż na skutek zgłoszonych uwag przez RCL usunięto przepisy z projektu.</w:t>
            </w:r>
          </w:p>
          <w:p w14:paraId="734C58AD" w14:textId="77777777" w:rsidR="008D589C" w:rsidRPr="008D589C" w:rsidRDefault="008D589C" w:rsidP="008D589C">
            <w:pPr>
              <w:rPr>
                <w:rFonts w:cstheme="minorHAnsi"/>
                <w:sz w:val="20"/>
                <w:szCs w:val="20"/>
              </w:rPr>
            </w:pPr>
            <w:r w:rsidRPr="008D589C">
              <w:rPr>
                <w:rFonts w:cstheme="minorHAnsi"/>
                <w:b/>
                <w:bCs/>
                <w:sz w:val="20"/>
                <w:szCs w:val="20"/>
              </w:rPr>
              <w:t>W zakresie uwag do: § 8 ust. 3 pkt 5, § 13 pkt 5</w:t>
            </w:r>
            <w:r w:rsidRPr="008D589C">
              <w:rPr>
                <w:rFonts w:cstheme="minorHAnsi"/>
                <w:sz w:val="20"/>
                <w:szCs w:val="20"/>
              </w:rPr>
              <w:t xml:space="preserve"> dotyczących doprecyzowania w przepisie danych upadłego, w sytuacji, gdy nie ma on numeru PESEL nie ostały uwzględnione, albowiem użyte w przepisie sformułowanie odnoszące się do zamieszczonych w przepisie innych danych umożliwiających identyfikację w przypadku braku numeru PESEL – zastosowano analogiczne rozwiązanie (nazewnictwo) do regulacji wprowadzonej w art. 5 ust. 1 pkt 5 ustawy z dnia 6 grudnia 2018 r. o Krajowym Rejestrze Zadłużonych. Ponadto definicja innych danych umożliwiających identyfikację została zawarta w art. 22 ust. 1 pkt 4 p.u. dodany ustawą o KRZ.</w:t>
            </w:r>
          </w:p>
          <w:p w14:paraId="52F2DBAF" w14:textId="77777777" w:rsidR="008D589C" w:rsidRPr="008D589C" w:rsidRDefault="008D589C" w:rsidP="008D589C">
            <w:pPr>
              <w:rPr>
                <w:rFonts w:cstheme="minorHAnsi"/>
                <w:sz w:val="20"/>
                <w:szCs w:val="20"/>
              </w:rPr>
            </w:pPr>
          </w:p>
          <w:p w14:paraId="49E2A5B6" w14:textId="77777777" w:rsidR="008D589C" w:rsidRPr="008D589C" w:rsidRDefault="008D589C" w:rsidP="008D589C">
            <w:pPr>
              <w:rPr>
                <w:rFonts w:cstheme="minorHAnsi"/>
                <w:b/>
                <w:sz w:val="20"/>
                <w:szCs w:val="20"/>
              </w:rPr>
            </w:pPr>
          </w:p>
        </w:tc>
      </w:tr>
      <w:tr w:rsidR="008D589C" w:rsidRPr="008D589C" w14:paraId="1B70B811" w14:textId="77777777" w:rsidTr="008D589C">
        <w:tc>
          <w:tcPr>
            <w:tcW w:w="694" w:type="dxa"/>
          </w:tcPr>
          <w:p w14:paraId="5DDE874A" w14:textId="0725DB88" w:rsidR="008D589C" w:rsidRPr="008D589C" w:rsidRDefault="00374848" w:rsidP="008D589C">
            <w:pPr>
              <w:rPr>
                <w:rFonts w:cstheme="minorHAnsi"/>
                <w:b/>
                <w:sz w:val="20"/>
                <w:szCs w:val="20"/>
              </w:rPr>
            </w:pPr>
            <w:r>
              <w:rPr>
                <w:rFonts w:cstheme="minorHAnsi"/>
                <w:b/>
                <w:sz w:val="20"/>
                <w:szCs w:val="20"/>
              </w:rPr>
              <w:t>2</w:t>
            </w:r>
            <w:r w:rsidR="008D589C" w:rsidRPr="008D589C">
              <w:rPr>
                <w:rFonts w:cstheme="minorHAnsi"/>
                <w:b/>
                <w:sz w:val="20"/>
                <w:szCs w:val="20"/>
              </w:rPr>
              <w:t>.</w:t>
            </w:r>
          </w:p>
        </w:tc>
        <w:tc>
          <w:tcPr>
            <w:tcW w:w="2014" w:type="dxa"/>
          </w:tcPr>
          <w:p w14:paraId="3CF90098" w14:textId="77777777" w:rsidR="008D589C" w:rsidRPr="008D589C" w:rsidRDefault="008D589C" w:rsidP="008D589C">
            <w:pPr>
              <w:rPr>
                <w:rFonts w:cstheme="minorHAnsi"/>
                <w:b/>
                <w:sz w:val="20"/>
                <w:szCs w:val="20"/>
              </w:rPr>
            </w:pPr>
            <w:r w:rsidRPr="008D589C">
              <w:rPr>
                <w:rFonts w:cstheme="minorHAnsi"/>
                <w:b/>
                <w:sz w:val="20"/>
                <w:szCs w:val="20"/>
              </w:rPr>
              <w:t>Minister Aktywów Państwowych</w:t>
            </w:r>
          </w:p>
        </w:tc>
        <w:tc>
          <w:tcPr>
            <w:tcW w:w="1336" w:type="dxa"/>
          </w:tcPr>
          <w:p w14:paraId="37989179" w14:textId="77777777" w:rsidR="008D589C" w:rsidRPr="008D589C" w:rsidRDefault="008D589C" w:rsidP="008D589C">
            <w:pPr>
              <w:rPr>
                <w:rFonts w:cstheme="minorHAnsi"/>
                <w:b/>
                <w:bCs/>
                <w:sz w:val="20"/>
                <w:szCs w:val="20"/>
              </w:rPr>
            </w:pPr>
            <w:r w:rsidRPr="008D589C">
              <w:rPr>
                <w:rFonts w:cstheme="minorHAnsi"/>
                <w:b/>
                <w:bCs/>
                <w:sz w:val="20"/>
                <w:szCs w:val="20"/>
              </w:rPr>
              <w:t>§ 7 ust. 1 - 2</w:t>
            </w:r>
          </w:p>
        </w:tc>
        <w:tc>
          <w:tcPr>
            <w:tcW w:w="2733" w:type="dxa"/>
          </w:tcPr>
          <w:p w14:paraId="7311A905" w14:textId="77777777" w:rsidR="008D589C" w:rsidRPr="008D589C" w:rsidRDefault="008D589C" w:rsidP="008D589C">
            <w:pPr>
              <w:rPr>
                <w:rFonts w:cstheme="minorHAnsi"/>
                <w:sz w:val="20"/>
                <w:szCs w:val="20"/>
              </w:rPr>
            </w:pPr>
            <w:r w:rsidRPr="008D589C">
              <w:rPr>
                <w:rFonts w:cstheme="minorHAnsi"/>
                <w:sz w:val="20"/>
                <w:szCs w:val="20"/>
              </w:rPr>
              <w:t>W projekcie przewidziano dwa sposoby udzielania uczestnikom dostępu do akt, tj. za pośrednictwem ogólnodostępnych sieci teleinformatycznych poprzez konto w systemie teleinformatycznym (§ 7 ust. 1) oraz w biurze nadzorcy układu (§ 7 ust. 2). W projekcie nie wskazano przepisów określających sposób dostępu uczestników postępowania do tego konta (kto zakłada konto, sposób założenia tego konta), ani odesłania do przepisów, które regulują założenie konta. W związku z powyższym Ministerstwo Aktywów Państwowych proponuje doprecyzowanie przepisów w tym zakresie.</w:t>
            </w:r>
          </w:p>
        </w:tc>
        <w:tc>
          <w:tcPr>
            <w:tcW w:w="3147" w:type="dxa"/>
          </w:tcPr>
          <w:p w14:paraId="078E0B66" w14:textId="77777777" w:rsidR="008D589C" w:rsidRPr="008D589C" w:rsidRDefault="008D589C" w:rsidP="008D589C">
            <w:pPr>
              <w:rPr>
                <w:rFonts w:cstheme="minorHAnsi"/>
                <w:b/>
                <w:bCs/>
                <w:sz w:val="20"/>
                <w:szCs w:val="20"/>
              </w:rPr>
            </w:pPr>
            <w:r w:rsidRPr="008D589C">
              <w:rPr>
                <w:rFonts w:cstheme="minorHAnsi"/>
                <w:b/>
                <w:bCs/>
                <w:sz w:val="20"/>
                <w:szCs w:val="20"/>
              </w:rPr>
              <w:t>Uwaga uwzględniona.</w:t>
            </w:r>
          </w:p>
          <w:p w14:paraId="6F57EECA" w14:textId="77777777" w:rsidR="008D589C" w:rsidRPr="008D589C" w:rsidRDefault="008D589C" w:rsidP="008D589C">
            <w:pPr>
              <w:rPr>
                <w:rFonts w:cstheme="minorHAnsi"/>
                <w:b/>
                <w:sz w:val="20"/>
                <w:szCs w:val="20"/>
              </w:rPr>
            </w:pPr>
            <w:r w:rsidRPr="008D589C">
              <w:rPr>
                <w:rFonts w:cstheme="minorHAnsi"/>
                <w:sz w:val="20"/>
                <w:szCs w:val="20"/>
              </w:rPr>
              <w:t xml:space="preserve">Odnosząc się do zgłoszonej uwagi zawierającej sugestię w zakresie doprecyzowana w rozporządzeniu przepisów określających sposób dostępu uczestników postępowania do konta w systemie teleinformatycznym, za pośrednictwem którego nastąpi dostęp do akt (kto zakłada konto, sposób założenia tego konta), bądź zamieszczenia odesłania do przepisów, które regulują założenie konta – uwaga została uwzględniona poprzez doprecyzowanie tej kwestii w uzasadnieniu. Należy wskazać, iż regulacja powyższego zagadnienia w treści rozporządzenia stanowiłaby przekroczenie zakresu delegacji ustawowej do wydania opiniowanego rozporządzenia. Kwestie dotyczące sposobu zakładania konta reguluje bowiem projekt rozporządzenia w sprawie trybu zakładania i udostępniania konta oraz sposobu korzystania i zamykania konta w systemie teleinformatycznym obsługującym postępowanie sądowe (nr wpisu do Wykazu prac legislacyjnych MS A 427). W związku z powyższym dopisano w uzasadnieniu w wierszu dwudziestym drugim, na stronie 4 </w:t>
            </w:r>
            <w:r w:rsidRPr="008D589C">
              <w:rPr>
                <w:rFonts w:cstheme="minorHAnsi"/>
                <w:sz w:val="20"/>
                <w:szCs w:val="20"/>
              </w:rPr>
              <w:lastRenderedPageBreak/>
              <w:t>następujące zdanie: „Kwestie dotyczące sposobu zakładania konta reguluje rozporządzenie Ministra Sprawiedliwości w sprawie trybu zakładania i udostępniania konta oraz sposobu korzystania i zamykania konta w systemie teleinformatycznym obsługującym postępowanie sądowe, wydane na podstawie art. 53d ustawy z dnia 27 lipca 2001 r. – Prawo o ustroju sądów powszechnych (tekst jedn. Dz. U. z 2020 r. poz. 2072).”.</w:t>
            </w:r>
          </w:p>
        </w:tc>
      </w:tr>
      <w:tr w:rsidR="008D589C" w:rsidRPr="008D589C" w14:paraId="6A32CA8E" w14:textId="77777777" w:rsidTr="008D589C">
        <w:tc>
          <w:tcPr>
            <w:tcW w:w="694" w:type="dxa"/>
          </w:tcPr>
          <w:p w14:paraId="4E52213E" w14:textId="4DC41800" w:rsidR="008D589C" w:rsidRPr="008D589C" w:rsidRDefault="00374848" w:rsidP="008D589C">
            <w:pPr>
              <w:rPr>
                <w:rFonts w:cstheme="minorHAnsi"/>
                <w:b/>
                <w:sz w:val="20"/>
                <w:szCs w:val="20"/>
              </w:rPr>
            </w:pPr>
            <w:r>
              <w:rPr>
                <w:rFonts w:cstheme="minorHAnsi"/>
                <w:b/>
                <w:sz w:val="20"/>
                <w:szCs w:val="20"/>
              </w:rPr>
              <w:lastRenderedPageBreak/>
              <w:t>3</w:t>
            </w:r>
            <w:r w:rsidR="008D589C" w:rsidRPr="008D589C">
              <w:rPr>
                <w:rFonts w:cstheme="minorHAnsi"/>
                <w:b/>
                <w:sz w:val="20"/>
                <w:szCs w:val="20"/>
              </w:rPr>
              <w:t>.</w:t>
            </w:r>
          </w:p>
        </w:tc>
        <w:tc>
          <w:tcPr>
            <w:tcW w:w="2014" w:type="dxa"/>
          </w:tcPr>
          <w:p w14:paraId="3FD222C9" w14:textId="77777777" w:rsidR="008D589C" w:rsidRPr="008D589C" w:rsidRDefault="008D589C" w:rsidP="008D589C">
            <w:pPr>
              <w:rPr>
                <w:rFonts w:cstheme="minorHAnsi"/>
                <w:b/>
                <w:sz w:val="20"/>
                <w:szCs w:val="20"/>
              </w:rPr>
            </w:pPr>
            <w:r w:rsidRPr="008D589C">
              <w:rPr>
                <w:rFonts w:cstheme="minorHAnsi"/>
                <w:b/>
                <w:sz w:val="20"/>
                <w:szCs w:val="20"/>
              </w:rPr>
              <w:t>Poczta Polska S.A.</w:t>
            </w:r>
          </w:p>
        </w:tc>
        <w:tc>
          <w:tcPr>
            <w:tcW w:w="1336" w:type="dxa"/>
          </w:tcPr>
          <w:p w14:paraId="7B8D5BFF" w14:textId="77777777" w:rsidR="008D589C" w:rsidRPr="008D589C" w:rsidRDefault="008D589C" w:rsidP="008D589C">
            <w:pPr>
              <w:rPr>
                <w:rFonts w:cstheme="minorHAnsi"/>
                <w:b/>
                <w:bCs/>
                <w:sz w:val="20"/>
                <w:szCs w:val="20"/>
              </w:rPr>
            </w:pPr>
            <w:r w:rsidRPr="008D589C">
              <w:rPr>
                <w:rFonts w:cstheme="minorHAnsi"/>
                <w:b/>
                <w:bCs/>
                <w:sz w:val="20"/>
                <w:szCs w:val="20"/>
              </w:rPr>
              <w:t>Uwaga ogólna</w:t>
            </w:r>
          </w:p>
        </w:tc>
        <w:tc>
          <w:tcPr>
            <w:tcW w:w="2733" w:type="dxa"/>
          </w:tcPr>
          <w:p w14:paraId="790F43D0" w14:textId="77777777" w:rsidR="008D589C" w:rsidRPr="008D589C" w:rsidRDefault="008D589C" w:rsidP="008D589C">
            <w:pPr>
              <w:rPr>
                <w:rFonts w:cstheme="minorHAnsi"/>
                <w:sz w:val="20"/>
                <w:szCs w:val="20"/>
              </w:rPr>
            </w:pPr>
            <w:r w:rsidRPr="008D589C">
              <w:rPr>
                <w:rFonts w:cstheme="minorHAnsi"/>
                <w:sz w:val="20"/>
                <w:szCs w:val="20"/>
              </w:rPr>
              <w:t>Wejście w życie procedowanego projektu rozporządzenia planowane jest na dzień 1 lipca br. Z dniem 1 lipca 2021 r. wchodzi w życie</w:t>
            </w:r>
          </w:p>
          <w:p w14:paraId="59A97E45" w14:textId="77777777" w:rsidR="008D589C" w:rsidRPr="008D589C" w:rsidRDefault="008D589C" w:rsidP="008D589C">
            <w:pPr>
              <w:rPr>
                <w:rFonts w:cstheme="minorHAnsi"/>
                <w:sz w:val="20"/>
                <w:szCs w:val="20"/>
              </w:rPr>
            </w:pPr>
            <w:r w:rsidRPr="008D589C">
              <w:rPr>
                <w:rFonts w:cstheme="minorHAnsi"/>
                <w:sz w:val="20"/>
                <w:szCs w:val="20"/>
              </w:rPr>
              <w:t>ustawa z dnia 18 listopada 2020 r. o doręczeniach elektronicznych (Dz. U. poz. 2320), która wprowadza</w:t>
            </w:r>
          </w:p>
          <w:p w14:paraId="565DF2B5" w14:textId="77777777" w:rsidR="008D589C" w:rsidRPr="008D589C" w:rsidRDefault="008D589C" w:rsidP="008D589C">
            <w:pPr>
              <w:rPr>
                <w:rFonts w:cstheme="minorHAnsi"/>
                <w:sz w:val="20"/>
                <w:szCs w:val="20"/>
              </w:rPr>
            </w:pPr>
            <w:r w:rsidRPr="008D589C">
              <w:rPr>
                <w:rFonts w:cstheme="minorHAnsi"/>
                <w:sz w:val="20"/>
                <w:szCs w:val="20"/>
              </w:rPr>
              <w:t>w Polsce elektroniczną usługę wymiany korespondencji pomiędzy podmiotami, zrównaną w mocy</w:t>
            </w:r>
          </w:p>
          <w:p w14:paraId="6D34FB31" w14:textId="77777777" w:rsidR="008D589C" w:rsidRPr="008D589C" w:rsidRDefault="008D589C" w:rsidP="008D589C">
            <w:pPr>
              <w:rPr>
                <w:rFonts w:cstheme="minorHAnsi"/>
                <w:sz w:val="20"/>
                <w:szCs w:val="20"/>
              </w:rPr>
            </w:pPr>
            <w:r w:rsidRPr="008D589C">
              <w:rPr>
                <w:rFonts w:cstheme="minorHAnsi"/>
                <w:sz w:val="20"/>
                <w:szCs w:val="20"/>
              </w:rPr>
              <w:t>prawnej z przesyłką poleconą z potwierdzeniem odbioru, tj. publiczną usługą rejestrowanego doręczenia</w:t>
            </w:r>
          </w:p>
          <w:p w14:paraId="24958728" w14:textId="77777777" w:rsidR="008D589C" w:rsidRPr="008D589C" w:rsidRDefault="008D589C" w:rsidP="008D589C">
            <w:pPr>
              <w:rPr>
                <w:rFonts w:cstheme="minorHAnsi"/>
                <w:sz w:val="20"/>
                <w:szCs w:val="20"/>
              </w:rPr>
            </w:pPr>
            <w:r w:rsidRPr="008D589C">
              <w:rPr>
                <w:rFonts w:cstheme="minorHAnsi"/>
                <w:sz w:val="20"/>
                <w:szCs w:val="20"/>
              </w:rPr>
              <w:t>elektronicznego (PURDE). Dlatego też, Poczta Polska S.A. wskazuje, że procedowany projekt</w:t>
            </w:r>
          </w:p>
          <w:p w14:paraId="176EC2DB" w14:textId="77777777" w:rsidR="008D589C" w:rsidRPr="008D589C" w:rsidRDefault="008D589C" w:rsidP="008D589C">
            <w:pPr>
              <w:rPr>
                <w:rFonts w:cstheme="minorHAnsi"/>
                <w:sz w:val="20"/>
                <w:szCs w:val="20"/>
              </w:rPr>
            </w:pPr>
            <w:r w:rsidRPr="008D589C">
              <w:rPr>
                <w:rFonts w:cstheme="minorHAnsi"/>
                <w:sz w:val="20"/>
                <w:szCs w:val="20"/>
              </w:rPr>
              <w:t>rozporządzenia powinien uwzględniać jako nadaną/otrzymaną korespondencję zarówno w postępowaniu</w:t>
            </w:r>
          </w:p>
          <w:p w14:paraId="0F35FD50" w14:textId="77777777" w:rsidR="008D589C" w:rsidRPr="008D589C" w:rsidRDefault="008D589C" w:rsidP="008D589C">
            <w:pPr>
              <w:rPr>
                <w:rFonts w:cstheme="minorHAnsi"/>
                <w:sz w:val="20"/>
                <w:szCs w:val="20"/>
              </w:rPr>
            </w:pPr>
            <w:r w:rsidRPr="008D589C">
              <w:rPr>
                <w:rFonts w:cstheme="minorHAnsi"/>
                <w:sz w:val="20"/>
                <w:szCs w:val="20"/>
              </w:rPr>
              <w:t>upadłościowym jak i restrukturyzacyjnym również dokumenty w wersji elektronicznej, przesłane</w:t>
            </w:r>
          </w:p>
          <w:p w14:paraId="2543B0EB" w14:textId="77777777" w:rsidR="008D589C" w:rsidRPr="008D589C" w:rsidRDefault="008D589C" w:rsidP="008D589C">
            <w:pPr>
              <w:rPr>
                <w:rFonts w:cstheme="minorHAnsi"/>
                <w:sz w:val="20"/>
                <w:szCs w:val="20"/>
              </w:rPr>
            </w:pPr>
            <w:r w:rsidRPr="008D589C">
              <w:rPr>
                <w:rFonts w:cstheme="minorHAnsi"/>
                <w:sz w:val="20"/>
                <w:szCs w:val="20"/>
              </w:rPr>
              <w:t>za pośrednictwem PURDE</w:t>
            </w:r>
          </w:p>
        </w:tc>
        <w:tc>
          <w:tcPr>
            <w:tcW w:w="3147" w:type="dxa"/>
          </w:tcPr>
          <w:p w14:paraId="30E6EC75" w14:textId="77777777" w:rsidR="008D589C" w:rsidRPr="008D589C" w:rsidRDefault="008D589C" w:rsidP="008D589C">
            <w:pPr>
              <w:rPr>
                <w:rFonts w:cstheme="minorHAnsi"/>
                <w:b/>
                <w:sz w:val="20"/>
                <w:szCs w:val="20"/>
              </w:rPr>
            </w:pPr>
            <w:r w:rsidRPr="008D589C">
              <w:rPr>
                <w:rFonts w:cstheme="minorHAnsi"/>
                <w:b/>
                <w:sz w:val="20"/>
                <w:szCs w:val="20"/>
              </w:rPr>
              <w:t>Uwaga nie została uwzględniona.</w:t>
            </w:r>
          </w:p>
          <w:p w14:paraId="260A0A1D" w14:textId="77777777" w:rsidR="008D589C" w:rsidRPr="008D589C" w:rsidRDefault="008D589C" w:rsidP="008D589C">
            <w:pPr>
              <w:rPr>
                <w:rFonts w:cstheme="minorHAnsi"/>
                <w:b/>
                <w:bCs/>
                <w:sz w:val="20"/>
                <w:szCs w:val="20"/>
              </w:rPr>
            </w:pPr>
            <w:r w:rsidRPr="008D589C">
              <w:rPr>
                <w:rFonts w:cstheme="minorHAnsi"/>
                <w:bCs/>
                <w:sz w:val="20"/>
                <w:szCs w:val="20"/>
              </w:rPr>
              <w:t xml:space="preserve">Wskazać należy, iż przepisy ustawy z dnia 28 listopada 2020 r. o doręczeniach elektronicznych (Dz. U poz. 2320 z późn. Zm.) nie znajdują zastosowania dla doręczeń realizowanych za pośrednictwem systemu teleinformatycznego obsługującego postępowanie sądowe Krajowego Rejestru Zadłużonych. Podstawę do wyłączenia stosowania tych regulacji stanowi art. 3 pkt 1 </w:t>
            </w:r>
            <w:proofErr w:type="spellStart"/>
            <w:r w:rsidRPr="008D589C">
              <w:rPr>
                <w:rFonts w:cstheme="minorHAnsi"/>
                <w:bCs/>
                <w:sz w:val="20"/>
                <w:szCs w:val="20"/>
              </w:rPr>
              <w:t>ppkt</w:t>
            </w:r>
            <w:proofErr w:type="spellEnd"/>
            <w:r w:rsidRPr="008D589C">
              <w:rPr>
                <w:rFonts w:cstheme="minorHAnsi"/>
                <w:bCs/>
                <w:sz w:val="20"/>
                <w:szCs w:val="20"/>
              </w:rPr>
              <w:t xml:space="preserve"> d ustawy o doręczeniach elektronicznych, który stanowi, że ustawy nie stosuje się  do doręczania korespondencji jeżeli przepisy odrębne przewidują wnoszenie lub doręczanie korespondencji z</w:t>
            </w:r>
            <w:r w:rsidRPr="008D589C">
              <w:rPr>
                <w:rFonts w:cstheme="minorHAnsi"/>
                <w:b/>
                <w:sz w:val="20"/>
                <w:szCs w:val="20"/>
              </w:rPr>
              <w:t xml:space="preserve"> </w:t>
            </w:r>
            <w:r w:rsidRPr="008D589C">
              <w:rPr>
                <w:rFonts w:cstheme="minorHAnsi"/>
                <w:bCs/>
                <w:sz w:val="20"/>
                <w:szCs w:val="20"/>
              </w:rPr>
              <w:t>wykorzystaniem innych niż adres do doręczeń elektronicznych rozwiązań techniczno-organizacyjnych, w szczególności na konta w systemach teleinformatycznych obsługujących postępowania sądowe lub do repozytoriów dokumentów”. W systemie teleinformatycznym obsługujący postepowanie sądowe KRZ doręczenia będą dokonywane na konta użytkowników w tym systemie. W związku z powyższym zgłoszone uwagi nie zostały uwzględnione.</w:t>
            </w:r>
          </w:p>
        </w:tc>
      </w:tr>
      <w:tr w:rsidR="008D589C" w:rsidRPr="008D589C" w14:paraId="669FBC5A" w14:textId="77777777" w:rsidTr="008D589C">
        <w:tc>
          <w:tcPr>
            <w:tcW w:w="694" w:type="dxa"/>
          </w:tcPr>
          <w:p w14:paraId="3991A97D" w14:textId="473A5429" w:rsidR="008D589C" w:rsidRPr="008D589C" w:rsidRDefault="00374848" w:rsidP="008D589C">
            <w:pPr>
              <w:rPr>
                <w:rFonts w:cstheme="minorHAnsi"/>
                <w:b/>
                <w:sz w:val="20"/>
                <w:szCs w:val="20"/>
              </w:rPr>
            </w:pPr>
            <w:r>
              <w:rPr>
                <w:rFonts w:cstheme="minorHAnsi"/>
                <w:b/>
                <w:sz w:val="20"/>
                <w:szCs w:val="20"/>
              </w:rPr>
              <w:t>4</w:t>
            </w:r>
            <w:r w:rsidR="008D589C" w:rsidRPr="008D589C">
              <w:rPr>
                <w:rFonts w:cstheme="minorHAnsi"/>
                <w:b/>
                <w:sz w:val="20"/>
                <w:szCs w:val="20"/>
              </w:rPr>
              <w:t>.</w:t>
            </w:r>
          </w:p>
        </w:tc>
        <w:tc>
          <w:tcPr>
            <w:tcW w:w="2014" w:type="dxa"/>
          </w:tcPr>
          <w:p w14:paraId="241FFC93" w14:textId="77777777" w:rsidR="008D589C" w:rsidRPr="008D589C" w:rsidRDefault="008D589C" w:rsidP="008D589C">
            <w:pPr>
              <w:rPr>
                <w:rFonts w:cstheme="minorHAnsi"/>
                <w:b/>
                <w:sz w:val="20"/>
                <w:szCs w:val="20"/>
              </w:rPr>
            </w:pPr>
            <w:r w:rsidRPr="008D589C">
              <w:rPr>
                <w:rFonts w:cstheme="minorHAnsi"/>
                <w:b/>
                <w:sz w:val="20"/>
                <w:szCs w:val="20"/>
              </w:rPr>
              <w:t>Wspólne stanowisko INSO – Sekcji Prawa Upadłościowego i Restrukturyzacyjnego Instytutu Allerhanda oraz Krajowej Izby Doradców Restrukturyzacyjnych</w:t>
            </w:r>
          </w:p>
        </w:tc>
        <w:tc>
          <w:tcPr>
            <w:tcW w:w="1336" w:type="dxa"/>
          </w:tcPr>
          <w:p w14:paraId="7A2956E9" w14:textId="77777777" w:rsidR="008D589C" w:rsidRPr="008D589C" w:rsidRDefault="008D589C" w:rsidP="008D589C">
            <w:pPr>
              <w:rPr>
                <w:rFonts w:cstheme="minorHAnsi"/>
                <w:b/>
                <w:bCs/>
                <w:sz w:val="20"/>
                <w:szCs w:val="20"/>
              </w:rPr>
            </w:pPr>
            <w:r w:rsidRPr="008D589C">
              <w:rPr>
                <w:rFonts w:cstheme="minorHAnsi"/>
                <w:b/>
                <w:bCs/>
                <w:sz w:val="20"/>
                <w:szCs w:val="20"/>
              </w:rPr>
              <w:t>Uwaga ogólna</w:t>
            </w:r>
          </w:p>
        </w:tc>
        <w:tc>
          <w:tcPr>
            <w:tcW w:w="2733" w:type="dxa"/>
          </w:tcPr>
          <w:p w14:paraId="1EF81BBD" w14:textId="77777777" w:rsidR="008D589C" w:rsidRPr="008D589C" w:rsidRDefault="008D589C" w:rsidP="008D589C">
            <w:pPr>
              <w:rPr>
                <w:rFonts w:cstheme="minorHAnsi"/>
                <w:sz w:val="20"/>
                <w:szCs w:val="20"/>
              </w:rPr>
            </w:pPr>
            <w:r w:rsidRPr="008D589C">
              <w:rPr>
                <w:rFonts w:cstheme="minorHAnsi"/>
                <w:sz w:val="20"/>
                <w:szCs w:val="20"/>
              </w:rPr>
              <w:t xml:space="preserve">Być może nie jest konieczne dołączanie do akt pism zawiadamiających wysyłanych do wszystkich wierzycieli. Pisma te są takie same dla wszystkich, nierzadko wielostronicowe, a w konsekwencji celowe byłoby ograniczenie się do </w:t>
            </w:r>
            <w:r w:rsidRPr="008D589C">
              <w:rPr>
                <w:rFonts w:cstheme="minorHAnsi"/>
                <w:sz w:val="20"/>
                <w:szCs w:val="20"/>
              </w:rPr>
              <w:lastRenderedPageBreak/>
              <w:t xml:space="preserve">pozostawienia w aktach treści pisma i dowodów nadania oraz zwrotnych potwierdzeń odbioru adresatów, bez konieczności multiplikowania kompletnych pism tej samej treści. </w:t>
            </w:r>
          </w:p>
          <w:p w14:paraId="2F4CD523" w14:textId="77777777" w:rsidR="008D589C" w:rsidRPr="008D589C" w:rsidRDefault="008D589C" w:rsidP="008D589C">
            <w:pPr>
              <w:rPr>
                <w:rFonts w:cstheme="minorHAnsi"/>
                <w:sz w:val="20"/>
                <w:szCs w:val="20"/>
              </w:rPr>
            </w:pPr>
            <w:r w:rsidRPr="008D589C">
              <w:rPr>
                <w:rFonts w:cstheme="minorHAnsi"/>
                <w:sz w:val="20"/>
                <w:szCs w:val="20"/>
              </w:rPr>
              <w:t>Powyższa uwaga jest celowa także w odniesieniu do zawiadomień wierzycieli w upadłościach konsumenckich, które także są treściowo identyczne, powielane.</w:t>
            </w:r>
          </w:p>
        </w:tc>
        <w:tc>
          <w:tcPr>
            <w:tcW w:w="3147" w:type="dxa"/>
          </w:tcPr>
          <w:p w14:paraId="31997163" w14:textId="77777777" w:rsidR="008D589C" w:rsidRPr="008D589C" w:rsidRDefault="008D589C" w:rsidP="008D589C">
            <w:pPr>
              <w:rPr>
                <w:rFonts w:cstheme="minorHAnsi"/>
                <w:b/>
                <w:sz w:val="20"/>
                <w:szCs w:val="20"/>
              </w:rPr>
            </w:pPr>
            <w:r w:rsidRPr="008D589C">
              <w:rPr>
                <w:rFonts w:cstheme="minorHAnsi"/>
                <w:b/>
                <w:sz w:val="20"/>
                <w:szCs w:val="20"/>
              </w:rPr>
              <w:lastRenderedPageBreak/>
              <w:t xml:space="preserve">Uwaga nie została uwzględniona, </w:t>
            </w:r>
            <w:r w:rsidRPr="008D589C">
              <w:rPr>
                <w:rFonts w:cstheme="minorHAnsi"/>
                <w:bCs/>
                <w:sz w:val="20"/>
                <w:szCs w:val="20"/>
              </w:rPr>
              <w:t>albowiem do każdego pisma jest generowana w systemie korespondencja wraz z numerem identyfikacyjnym, który dotyczy konkretnej korespondencji, brak dołączania pisma uniemożliwiłby w systemie prawidłowe ewidencjonowanie korespondencji.</w:t>
            </w:r>
          </w:p>
        </w:tc>
      </w:tr>
      <w:tr w:rsidR="008D589C" w:rsidRPr="008D589C" w14:paraId="575D576F" w14:textId="77777777" w:rsidTr="008D589C">
        <w:tc>
          <w:tcPr>
            <w:tcW w:w="694" w:type="dxa"/>
          </w:tcPr>
          <w:p w14:paraId="1909BD49" w14:textId="21C1B537" w:rsidR="008D589C" w:rsidRPr="008D589C" w:rsidRDefault="00374848" w:rsidP="008D589C">
            <w:pPr>
              <w:rPr>
                <w:rFonts w:cstheme="minorHAnsi"/>
                <w:b/>
                <w:sz w:val="20"/>
                <w:szCs w:val="20"/>
              </w:rPr>
            </w:pPr>
            <w:r>
              <w:rPr>
                <w:rFonts w:cstheme="minorHAnsi"/>
                <w:b/>
                <w:sz w:val="20"/>
                <w:szCs w:val="20"/>
              </w:rPr>
              <w:t>5</w:t>
            </w:r>
            <w:r w:rsidR="008D589C" w:rsidRPr="008D589C">
              <w:rPr>
                <w:rFonts w:cstheme="minorHAnsi"/>
                <w:b/>
                <w:sz w:val="20"/>
                <w:szCs w:val="20"/>
              </w:rPr>
              <w:t>.</w:t>
            </w:r>
          </w:p>
        </w:tc>
        <w:tc>
          <w:tcPr>
            <w:tcW w:w="2014" w:type="dxa"/>
          </w:tcPr>
          <w:p w14:paraId="25AF6546" w14:textId="77777777" w:rsidR="008D589C" w:rsidRPr="008D589C" w:rsidRDefault="008D589C" w:rsidP="008D589C">
            <w:pPr>
              <w:rPr>
                <w:rFonts w:cstheme="minorHAnsi"/>
                <w:b/>
                <w:sz w:val="20"/>
                <w:szCs w:val="20"/>
              </w:rPr>
            </w:pPr>
            <w:r w:rsidRPr="008D589C">
              <w:rPr>
                <w:rFonts w:cstheme="minorHAnsi"/>
                <w:b/>
                <w:sz w:val="20"/>
                <w:szCs w:val="20"/>
              </w:rPr>
              <w:t>Wspólne stanowisko INSO – Sekcji Prawa Upadłościowego i Restrukturyzacyjnego Instytutu Allerhanda oraz Krajowej Izby Doradców Restrukturyzacyjnych</w:t>
            </w:r>
          </w:p>
        </w:tc>
        <w:tc>
          <w:tcPr>
            <w:tcW w:w="1336" w:type="dxa"/>
          </w:tcPr>
          <w:p w14:paraId="54CCFA68" w14:textId="77777777" w:rsidR="008D589C" w:rsidRPr="008D589C" w:rsidRDefault="008D589C" w:rsidP="008D589C">
            <w:pPr>
              <w:rPr>
                <w:rFonts w:cstheme="minorHAnsi"/>
                <w:b/>
                <w:bCs/>
                <w:sz w:val="20"/>
                <w:szCs w:val="20"/>
              </w:rPr>
            </w:pPr>
            <w:r w:rsidRPr="008D589C">
              <w:rPr>
                <w:rFonts w:cstheme="minorHAnsi"/>
                <w:b/>
                <w:bCs/>
                <w:sz w:val="20"/>
                <w:szCs w:val="20"/>
              </w:rPr>
              <w:t>§ 10 ust. 2</w:t>
            </w:r>
          </w:p>
        </w:tc>
        <w:tc>
          <w:tcPr>
            <w:tcW w:w="2733" w:type="dxa"/>
          </w:tcPr>
          <w:p w14:paraId="56AF48AA" w14:textId="77777777" w:rsidR="008D589C" w:rsidRPr="008D589C" w:rsidRDefault="008D589C" w:rsidP="008D589C">
            <w:pPr>
              <w:rPr>
                <w:rFonts w:cstheme="minorHAnsi"/>
                <w:sz w:val="20"/>
                <w:szCs w:val="20"/>
              </w:rPr>
            </w:pPr>
            <w:r w:rsidRPr="008D589C">
              <w:rPr>
                <w:rFonts w:cstheme="minorHAnsi"/>
                <w:sz w:val="20"/>
                <w:szCs w:val="20"/>
              </w:rPr>
              <w:t>Dostrzeżono błąd redakcyjny w § 10 ust. 2 Rozporządzenia  w sprawie akt  w postępowaniu o zatwierdzenie układu: „2. O zmianie numeracji kart dokonuje się wzmiankę uczynić wzmiankę, z podaniem przyczyny zmiany. Wzmiankę zamieszcza się na karcie, której numerację zmieniono, a gdy zmiana dotyczy numeracji kilku kolejnych kart – na pierwszej z nich.”.</w:t>
            </w:r>
          </w:p>
        </w:tc>
        <w:tc>
          <w:tcPr>
            <w:tcW w:w="3147" w:type="dxa"/>
          </w:tcPr>
          <w:p w14:paraId="1D837648" w14:textId="77777777" w:rsidR="008D589C" w:rsidRPr="008D589C" w:rsidRDefault="008D589C" w:rsidP="008D589C">
            <w:pPr>
              <w:rPr>
                <w:rFonts w:cstheme="minorHAnsi"/>
                <w:b/>
                <w:sz w:val="20"/>
                <w:szCs w:val="20"/>
              </w:rPr>
            </w:pPr>
            <w:r w:rsidRPr="008D589C">
              <w:rPr>
                <w:rFonts w:cstheme="minorHAnsi"/>
                <w:b/>
                <w:sz w:val="20"/>
                <w:szCs w:val="20"/>
              </w:rPr>
              <w:t xml:space="preserve">Uwagę uwzględniono, </w:t>
            </w:r>
            <w:r w:rsidRPr="008D589C">
              <w:rPr>
                <w:rFonts w:cstheme="minorHAnsi"/>
                <w:bCs/>
                <w:sz w:val="20"/>
                <w:szCs w:val="20"/>
              </w:rPr>
              <w:t>usunięto z treści przepisu sformułowanie: „uczynić wzmiankę”.</w:t>
            </w:r>
            <w:r w:rsidRPr="008D589C">
              <w:rPr>
                <w:rFonts w:cstheme="minorHAnsi"/>
                <w:b/>
                <w:sz w:val="20"/>
                <w:szCs w:val="20"/>
              </w:rPr>
              <w:t xml:space="preserve"> </w:t>
            </w:r>
          </w:p>
        </w:tc>
      </w:tr>
      <w:tr w:rsidR="008D589C" w:rsidRPr="008D589C" w14:paraId="2B71DC01" w14:textId="77777777" w:rsidTr="008D589C">
        <w:tc>
          <w:tcPr>
            <w:tcW w:w="694" w:type="dxa"/>
          </w:tcPr>
          <w:p w14:paraId="32F02EC4" w14:textId="78A0105D" w:rsidR="008D589C" w:rsidRPr="008D589C" w:rsidRDefault="00374848" w:rsidP="008D589C">
            <w:pPr>
              <w:rPr>
                <w:rFonts w:cstheme="minorHAnsi"/>
                <w:b/>
                <w:sz w:val="20"/>
                <w:szCs w:val="20"/>
              </w:rPr>
            </w:pPr>
            <w:r>
              <w:rPr>
                <w:rFonts w:cstheme="minorHAnsi"/>
                <w:b/>
                <w:sz w:val="20"/>
                <w:szCs w:val="20"/>
              </w:rPr>
              <w:t>6</w:t>
            </w:r>
            <w:r w:rsidR="008D589C" w:rsidRPr="008D589C">
              <w:rPr>
                <w:rFonts w:cstheme="minorHAnsi"/>
                <w:b/>
                <w:sz w:val="20"/>
                <w:szCs w:val="20"/>
              </w:rPr>
              <w:t>.</w:t>
            </w:r>
          </w:p>
        </w:tc>
        <w:tc>
          <w:tcPr>
            <w:tcW w:w="2014" w:type="dxa"/>
          </w:tcPr>
          <w:p w14:paraId="433EEF31" w14:textId="77777777" w:rsidR="008D589C" w:rsidRPr="008D589C" w:rsidRDefault="008D589C" w:rsidP="008D589C">
            <w:pPr>
              <w:rPr>
                <w:rFonts w:cstheme="minorHAnsi"/>
                <w:b/>
                <w:sz w:val="20"/>
                <w:szCs w:val="20"/>
              </w:rPr>
            </w:pPr>
            <w:r w:rsidRPr="008D589C">
              <w:rPr>
                <w:rFonts w:cstheme="minorHAnsi"/>
                <w:b/>
                <w:sz w:val="20"/>
                <w:szCs w:val="20"/>
              </w:rPr>
              <w:t>Wspólne stanowisko INSO – Sekcji Prawa Upadłościowego i Restrukturyzacyjnego Instytutu Allerhanda oraz Krajowej Izby Doradców Restrukturyzacyjnych</w:t>
            </w:r>
          </w:p>
        </w:tc>
        <w:tc>
          <w:tcPr>
            <w:tcW w:w="1336" w:type="dxa"/>
          </w:tcPr>
          <w:p w14:paraId="606B0A68" w14:textId="77777777" w:rsidR="008D589C" w:rsidRPr="008D589C" w:rsidRDefault="008D589C" w:rsidP="008D589C">
            <w:pPr>
              <w:rPr>
                <w:rFonts w:cstheme="minorHAnsi"/>
                <w:b/>
                <w:bCs/>
                <w:sz w:val="20"/>
                <w:szCs w:val="20"/>
              </w:rPr>
            </w:pPr>
            <w:r w:rsidRPr="008D589C">
              <w:rPr>
                <w:rFonts w:cstheme="minorHAnsi"/>
                <w:b/>
                <w:bCs/>
                <w:sz w:val="20"/>
                <w:szCs w:val="20"/>
              </w:rPr>
              <w:t>Uwaga ogólna</w:t>
            </w:r>
          </w:p>
        </w:tc>
        <w:tc>
          <w:tcPr>
            <w:tcW w:w="2733" w:type="dxa"/>
          </w:tcPr>
          <w:p w14:paraId="057B2F4C" w14:textId="77777777" w:rsidR="008D589C" w:rsidRPr="008D589C" w:rsidRDefault="008D589C" w:rsidP="008D589C">
            <w:pPr>
              <w:rPr>
                <w:rFonts w:cstheme="minorHAnsi"/>
                <w:sz w:val="20"/>
                <w:szCs w:val="20"/>
              </w:rPr>
            </w:pPr>
            <w:r w:rsidRPr="008D589C">
              <w:rPr>
                <w:rFonts w:cstheme="minorHAnsi"/>
                <w:sz w:val="20"/>
                <w:szCs w:val="20"/>
              </w:rPr>
              <w:t>Należy też wyrazić obawę przed udostępnianiem spisu wierzytelności na etapie przed złożeniem wniosku o zatwierdzenie układu, gdyż w sytuacji nie będą zanonimizowane dane wierzycieli, takie udostępnianie może być nadużywane i wykorzystywane jako mechanizm zdobywania informacji niekoniecznie związanych z celem postępowania.</w:t>
            </w:r>
          </w:p>
        </w:tc>
        <w:tc>
          <w:tcPr>
            <w:tcW w:w="3147" w:type="dxa"/>
          </w:tcPr>
          <w:p w14:paraId="61D21F38" w14:textId="77777777" w:rsidR="008D589C" w:rsidRPr="008D589C" w:rsidRDefault="008D589C" w:rsidP="008D589C">
            <w:pPr>
              <w:rPr>
                <w:rFonts w:cstheme="minorHAnsi"/>
                <w:b/>
                <w:sz w:val="20"/>
                <w:szCs w:val="20"/>
              </w:rPr>
            </w:pPr>
            <w:r w:rsidRPr="008D589C">
              <w:rPr>
                <w:rFonts w:cstheme="minorHAnsi"/>
                <w:b/>
                <w:sz w:val="20"/>
                <w:szCs w:val="20"/>
              </w:rPr>
              <w:t>Uwaga nie została uwzględniona.</w:t>
            </w:r>
          </w:p>
          <w:p w14:paraId="5504926A" w14:textId="77777777" w:rsidR="008D589C" w:rsidRPr="008D589C" w:rsidRDefault="008D589C" w:rsidP="008D589C">
            <w:pPr>
              <w:rPr>
                <w:rFonts w:cstheme="minorHAnsi"/>
                <w:bCs/>
                <w:sz w:val="20"/>
                <w:szCs w:val="20"/>
              </w:rPr>
            </w:pPr>
            <w:r w:rsidRPr="008D589C">
              <w:rPr>
                <w:rFonts w:cstheme="minorHAnsi"/>
                <w:bCs/>
                <w:sz w:val="20"/>
                <w:szCs w:val="20"/>
              </w:rPr>
              <w:t xml:space="preserve">Wskazać należy, iż spis wierzytelności będzie częścią akt prowadzonych przez nadzorcę układu, powyższe wynika ze zmian przepisów ustawy prawo restrukturyzacyjne dokonanych ustawą z dnia 28 maja 2021 r. o zmianie ustawy o Krajowym Rejestrze Zadłużonych oraz niektórych innych ustaw. Na skutek wprowadzonych zmian legislacyjnych wprowadzono nowy rozdział dotyczący przebiegu postępowania o zatwierdzenie układu. Wskazać należy, iż akta postepowania mają być transparentne. </w:t>
            </w:r>
          </w:p>
        </w:tc>
      </w:tr>
    </w:tbl>
    <w:p w14:paraId="4A11D0A1" w14:textId="77777777" w:rsidR="008D589C" w:rsidRPr="008D589C" w:rsidRDefault="008D589C" w:rsidP="008D589C">
      <w:pPr>
        <w:rPr>
          <w:rFonts w:cstheme="minorHAnsi"/>
          <w:sz w:val="20"/>
          <w:szCs w:val="20"/>
        </w:rPr>
      </w:pPr>
    </w:p>
    <w:p w14:paraId="533066F3" w14:textId="77777777" w:rsidR="000F6BF5" w:rsidRPr="00B06B9B" w:rsidRDefault="000F6BF5" w:rsidP="000F6BF5">
      <w:pPr>
        <w:rPr>
          <w:rFonts w:ascii="Times New Roman" w:hAnsi="Times New Roman" w:cs="Times New Roman"/>
          <w:b/>
          <w:sz w:val="20"/>
          <w:szCs w:val="20"/>
        </w:rPr>
      </w:pPr>
    </w:p>
    <w:sectPr w:rsidR="000F6BF5" w:rsidRPr="00B06B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BF5"/>
    <w:rsid w:val="00015BF0"/>
    <w:rsid w:val="000220D9"/>
    <w:rsid w:val="00035C27"/>
    <w:rsid w:val="000559FC"/>
    <w:rsid w:val="0006201C"/>
    <w:rsid w:val="00080693"/>
    <w:rsid w:val="00083578"/>
    <w:rsid w:val="000964E1"/>
    <w:rsid w:val="0009752A"/>
    <w:rsid w:val="00097F7D"/>
    <w:rsid w:val="000F0F37"/>
    <w:rsid w:val="000F6BF5"/>
    <w:rsid w:val="00111B14"/>
    <w:rsid w:val="00113454"/>
    <w:rsid w:val="001214DA"/>
    <w:rsid w:val="0012520B"/>
    <w:rsid w:val="001447B8"/>
    <w:rsid w:val="001471CC"/>
    <w:rsid w:val="001531EF"/>
    <w:rsid w:val="0016316F"/>
    <w:rsid w:val="00173F11"/>
    <w:rsid w:val="00187F84"/>
    <w:rsid w:val="001B6323"/>
    <w:rsid w:val="001C2F39"/>
    <w:rsid w:val="001C583A"/>
    <w:rsid w:val="001C769B"/>
    <w:rsid w:val="001D1128"/>
    <w:rsid w:val="001E52F0"/>
    <w:rsid w:val="001E5738"/>
    <w:rsid w:val="001E714A"/>
    <w:rsid w:val="001F2581"/>
    <w:rsid w:val="001F2800"/>
    <w:rsid w:val="001F372B"/>
    <w:rsid w:val="001F56C4"/>
    <w:rsid w:val="00200B68"/>
    <w:rsid w:val="0021383F"/>
    <w:rsid w:val="00217B3C"/>
    <w:rsid w:val="0023517C"/>
    <w:rsid w:val="00235582"/>
    <w:rsid w:val="002440CE"/>
    <w:rsid w:val="00253D09"/>
    <w:rsid w:val="00257281"/>
    <w:rsid w:val="00260C3D"/>
    <w:rsid w:val="002628B2"/>
    <w:rsid w:val="00270F2C"/>
    <w:rsid w:val="002903FD"/>
    <w:rsid w:val="002A4C6F"/>
    <w:rsid w:val="002A7144"/>
    <w:rsid w:val="002B2597"/>
    <w:rsid w:val="002B632C"/>
    <w:rsid w:val="002C6098"/>
    <w:rsid w:val="002D1DD5"/>
    <w:rsid w:val="002D53BF"/>
    <w:rsid w:val="00302D86"/>
    <w:rsid w:val="003049AD"/>
    <w:rsid w:val="00330F5B"/>
    <w:rsid w:val="00356DF1"/>
    <w:rsid w:val="00357A2A"/>
    <w:rsid w:val="0036300D"/>
    <w:rsid w:val="00374848"/>
    <w:rsid w:val="00374DDB"/>
    <w:rsid w:val="003817CB"/>
    <w:rsid w:val="00383CA6"/>
    <w:rsid w:val="00386085"/>
    <w:rsid w:val="003B7E5A"/>
    <w:rsid w:val="003E3D1A"/>
    <w:rsid w:val="003F3CD7"/>
    <w:rsid w:val="003F6DE5"/>
    <w:rsid w:val="00417418"/>
    <w:rsid w:val="004200B1"/>
    <w:rsid w:val="0042113F"/>
    <w:rsid w:val="0048453C"/>
    <w:rsid w:val="00487B16"/>
    <w:rsid w:val="00493EEC"/>
    <w:rsid w:val="004A4C4F"/>
    <w:rsid w:val="004B0EC7"/>
    <w:rsid w:val="004D1FA2"/>
    <w:rsid w:val="004D24F7"/>
    <w:rsid w:val="004E5CBE"/>
    <w:rsid w:val="004F63A8"/>
    <w:rsid w:val="00503EEB"/>
    <w:rsid w:val="00507D5E"/>
    <w:rsid w:val="00513EF9"/>
    <w:rsid w:val="00541258"/>
    <w:rsid w:val="00542CB3"/>
    <w:rsid w:val="00547477"/>
    <w:rsid w:val="00550E21"/>
    <w:rsid w:val="00552F7B"/>
    <w:rsid w:val="00564349"/>
    <w:rsid w:val="0056583A"/>
    <w:rsid w:val="0057542C"/>
    <w:rsid w:val="0059356C"/>
    <w:rsid w:val="005937A0"/>
    <w:rsid w:val="00594DF6"/>
    <w:rsid w:val="00594E28"/>
    <w:rsid w:val="005A009D"/>
    <w:rsid w:val="005A01F4"/>
    <w:rsid w:val="005A2751"/>
    <w:rsid w:val="005A40DC"/>
    <w:rsid w:val="005B7F03"/>
    <w:rsid w:val="005E1FCD"/>
    <w:rsid w:val="00600A92"/>
    <w:rsid w:val="00602445"/>
    <w:rsid w:val="006318CD"/>
    <w:rsid w:val="006476DC"/>
    <w:rsid w:val="00667018"/>
    <w:rsid w:val="00667FE9"/>
    <w:rsid w:val="00692867"/>
    <w:rsid w:val="006943A2"/>
    <w:rsid w:val="006974FC"/>
    <w:rsid w:val="006B2FFD"/>
    <w:rsid w:val="006C6DE4"/>
    <w:rsid w:val="006E20C8"/>
    <w:rsid w:val="00703D5B"/>
    <w:rsid w:val="0071520B"/>
    <w:rsid w:val="0071662F"/>
    <w:rsid w:val="007249AB"/>
    <w:rsid w:val="007354B8"/>
    <w:rsid w:val="0074012F"/>
    <w:rsid w:val="007435DC"/>
    <w:rsid w:val="0075040F"/>
    <w:rsid w:val="00751EE9"/>
    <w:rsid w:val="00763FE1"/>
    <w:rsid w:val="007C05DA"/>
    <w:rsid w:val="007C41FE"/>
    <w:rsid w:val="007E142E"/>
    <w:rsid w:val="007E1F86"/>
    <w:rsid w:val="007F1A9E"/>
    <w:rsid w:val="007F79BD"/>
    <w:rsid w:val="00806B4B"/>
    <w:rsid w:val="00807ED1"/>
    <w:rsid w:val="00812962"/>
    <w:rsid w:val="008156E1"/>
    <w:rsid w:val="008168A7"/>
    <w:rsid w:val="00821FB7"/>
    <w:rsid w:val="008257E6"/>
    <w:rsid w:val="00827A69"/>
    <w:rsid w:val="008304DD"/>
    <w:rsid w:val="0084214A"/>
    <w:rsid w:val="00842490"/>
    <w:rsid w:val="00845ABC"/>
    <w:rsid w:val="00861C9D"/>
    <w:rsid w:val="00866DA0"/>
    <w:rsid w:val="00872E6A"/>
    <w:rsid w:val="0087334D"/>
    <w:rsid w:val="00874A75"/>
    <w:rsid w:val="00877C82"/>
    <w:rsid w:val="00881B9F"/>
    <w:rsid w:val="00884EFE"/>
    <w:rsid w:val="00885F23"/>
    <w:rsid w:val="00895E36"/>
    <w:rsid w:val="008A1834"/>
    <w:rsid w:val="008B325A"/>
    <w:rsid w:val="008B4C5A"/>
    <w:rsid w:val="008C567E"/>
    <w:rsid w:val="008D022E"/>
    <w:rsid w:val="008D589C"/>
    <w:rsid w:val="008D6081"/>
    <w:rsid w:val="008F02E9"/>
    <w:rsid w:val="009211FC"/>
    <w:rsid w:val="0092192B"/>
    <w:rsid w:val="009251EC"/>
    <w:rsid w:val="00926088"/>
    <w:rsid w:val="00926883"/>
    <w:rsid w:val="00932718"/>
    <w:rsid w:val="00933E7E"/>
    <w:rsid w:val="00936EB2"/>
    <w:rsid w:val="00954155"/>
    <w:rsid w:val="009762AB"/>
    <w:rsid w:val="00981A5A"/>
    <w:rsid w:val="00984464"/>
    <w:rsid w:val="00985EA2"/>
    <w:rsid w:val="00992963"/>
    <w:rsid w:val="00992A08"/>
    <w:rsid w:val="009959C8"/>
    <w:rsid w:val="0099648C"/>
    <w:rsid w:val="009A478D"/>
    <w:rsid w:val="009A65BD"/>
    <w:rsid w:val="009B56F3"/>
    <w:rsid w:val="009B7316"/>
    <w:rsid w:val="009C0A7A"/>
    <w:rsid w:val="009D67D1"/>
    <w:rsid w:val="009D745B"/>
    <w:rsid w:val="009F15B3"/>
    <w:rsid w:val="00A0642C"/>
    <w:rsid w:val="00A10435"/>
    <w:rsid w:val="00A11348"/>
    <w:rsid w:val="00A12F5B"/>
    <w:rsid w:val="00A13157"/>
    <w:rsid w:val="00A13B84"/>
    <w:rsid w:val="00A202F5"/>
    <w:rsid w:val="00A215AF"/>
    <w:rsid w:val="00A34C2D"/>
    <w:rsid w:val="00A36909"/>
    <w:rsid w:val="00A43482"/>
    <w:rsid w:val="00A46C7D"/>
    <w:rsid w:val="00A47CDF"/>
    <w:rsid w:val="00A5078E"/>
    <w:rsid w:val="00A511E5"/>
    <w:rsid w:val="00A51500"/>
    <w:rsid w:val="00A67D1B"/>
    <w:rsid w:val="00A82017"/>
    <w:rsid w:val="00A85B60"/>
    <w:rsid w:val="00A86B7C"/>
    <w:rsid w:val="00AE1324"/>
    <w:rsid w:val="00AE3AB8"/>
    <w:rsid w:val="00AE61E3"/>
    <w:rsid w:val="00B0256A"/>
    <w:rsid w:val="00B04EA7"/>
    <w:rsid w:val="00B06B9B"/>
    <w:rsid w:val="00B109E5"/>
    <w:rsid w:val="00B21720"/>
    <w:rsid w:val="00B2490D"/>
    <w:rsid w:val="00B35183"/>
    <w:rsid w:val="00B35C8D"/>
    <w:rsid w:val="00B50D2B"/>
    <w:rsid w:val="00B5251B"/>
    <w:rsid w:val="00B60331"/>
    <w:rsid w:val="00B749E6"/>
    <w:rsid w:val="00BA5151"/>
    <w:rsid w:val="00BC3171"/>
    <w:rsid w:val="00BC489B"/>
    <w:rsid w:val="00BC75A4"/>
    <w:rsid w:val="00BC7612"/>
    <w:rsid w:val="00BD3AAB"/>
    <w:rsid w:val="00BD6C67"/>
    <w:rsid w:val="00C02B4C"/>
    <w:rsid w:val="00C10C9A"/>
    <w:rsid w:val="00C11138"/>
    <w:rsid w:val="00C11A1B"/>
    <w:rsid w:val="00C152BA"/>
    <w:rsid w:val="00C206B1"/>
    <w:rsid w:val="00C256B8"/>
    <w:rsid w:val="00C34EA3"/>
    <w:rsid w:val="00C37246"/>
    <w:rsid w:val="00C50808"/>
    <w:rsid w:val="00C54EDF"/>
    <w:rsid w:val="00C83AE7"/>
    <w:rsid w:val="00C84797"/>
    <w:rsid w:val="00C90570"/>
    <w:rsid w:val="00CA1C89"/>
    <w:rsid w:val="00CC0AFA"/>
    <w:rsid w:val="00CC3720"/>
    <w:rsid w:val="00CD2C44"/>
    <w:rsid w:val="00CD3414"/>
    <w:rsid w:val="00CE75C7"/>
    <w:rsid w:val="00CF5A72"/>
    <w:rsid w:val="00CF60AB"/>
    <w:rsid w:val="00D03F4D"/>
    <w:rsid w:val="00D2052A"/>
    <w:rsid w:val="00D239F7"/>
    <w:rsid w:val="00D261CA"/>
    <w:rsid w:val="00D34D78"/>
    <w:rsid w:val="00D41B2B"/>
    <w:rsid w:val="00D449C9"/>
    <w:rsid w:val="00D47E9F"/>
    <w:rsid w:val="00D61B57"/>
    <w:rsid w:val="00D72E8C"/>
    <w:rsid w:val="00D7334A"/>
    <w:rsid w:val="00D852E8"/>
    <w:rsid w:val="00D963B0"/>
    <w:rsid w:val="00D96EB3"/>
    <w:rsid w:val="00DA6421"/>
    <w:rsid w:val="00DB29E3"/>
    <w:rsid w:val="00DB372E"/>
    <w:rsid w:val="00DB48FA"/>
    <w:rsid w:val="00DD75CC"/>
    <w:rsid w:val="00DE2FDF"/>
    <w:rsid w:val="00DF00E7"/>
    <w:rsid w:val="00DF33A9"/>
    <w:rsid w:val="00DF71D8"/>
    <w:rsid w:val="00E21B8C"/>
    <w:rsid w:val="00E262AB"/>
    <w:rsid w:val="00E2786E"/>
    <w:rsid w:val="00E334FE"/>
    <w:rsid w:val="00E421A5"/>
    <w:rsid w:val="00E4397A"/>
    <w:rsid w:val="00E471D1"/>
    <w:rsid w:val="00E541E3"/>
    <w:rsid w:val="00E544C3"/>
    <w:rsid w:val="00E56E26"/>
    <w:rsid w:val="00E66D7C"/>
    <w:rsid w:val="00E67E34"/>
    <w:rsid w:val="00E874B2"/>
    <w:rsid w:val="00E91C82"/>
    <w:rsid w:val="00E93930"/>
    <w:rsid w:val="00E96D1B"/>
    <w:rsid w:val="00EC6A98"/>
    <w:rsid w:val="00EC713A"/>
    <w:rsid w:val="00EE4E20"/>
    <w:rsid w:val="00EF0470"/>
    <w:rsid w:val="00F01972"/>
    <w:rsid w:val="00F10415"/>
    <w:rsid w:val="00F1045B"/>
    <w:rsid w:val="00F14AFC"/>
    <w:rsid w:val="00F2150B"/>
    <w:rsid w:val="00F220B4"/>
    <w:rsid w:val="00F25B62"/>
    <w:rsid w:val="00F747DE"/>
    <w:rsid w:val="00F8341B"/>
    <w:rsid w:val="00FA0F56"/>
    <w:rsid w:val="00FA5024"/>
    <w:rsid w:val="00FA68E5"/>
    <w:rsid w:val="00FB796A"/>
    <w:rsid w:val="00FD40D2"/>
    <w:rsid w:val="00FE12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DACB5"/>
  <w15:chartTrackingRefBased/>
  <w15:docId w15:val="{74FA1B9E-6DC7-483B-92C3-4BDFB08F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F6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2608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6088"/>
    <w:rPr>
      <w:rFonts w:ascii="Segoe UI" w:hAnsi="Segoe UI" w:cs="Segoe UI"/>
      <w:sz w:val="18"/>
      <w:szCs w:val="18"/>
    </w:rPr>
  </w:style>
  <w:style w:type="paragraph" w:customStyle="1" w:styleId="PKTpunkt">
    <w:name w:val="PKT – punkt"/>
    <w:uiPriority w:val="13"/>
    <w:qFormat/>
    <w:rsid w:val="005A40DC"/>
    <w:pPr>
      <w:spacing w:after="0" w:line="360" w:lineRule="auto"/>
      <w:ind w:left="510" w:hanging="510"/>
      <w:jc w:val="both"/>
    </w:pPr>
    <w:rPr>
      <w:rFonts w:ascii="Times" w:eastAsiaTheme="minorEastAsia" w:hAnsi="Times" w:cs="Arial"/>
      <w:bCs/>
      <w:sz w:val="24"/>
      <w:szCs w:val="20"/>
      <w:lang w:eastAsia="pl-PL"/>
    </w:rPr>
  </w:style>
  <w:style w:type="character" w:customStyle="1" w:styleId="IGindeksgrny">
    <w:name w:val="_IG_ – indeks górny"/>
    <w:basedOn w:val="Domylnaczcionkaakapitu"/>
    <w:uiPriority w:val="2"/>
    <w:qFormat/>
    <w:rsid w:val="00374DDB"/>
    <w:rPr>
      <w:b w:val="0"/>
      <w:i w:val="0"/>
      <w:vanish w:val="0"/>
      <w:spacing w:val="0"/>
      <w:vertAlign w:val="superscript"/>
    </w:rPr>
  </w:style>
  <w:style w:type="paragraph" w:customStyle="1" w:styleId="ARTartustawynprozporzdzenia">
    <w:name w:val="ART(§) – art. ustawy (§ np. rozporządzenia)"/>
    <w:uiPriority w:val="11"/>
    <w:qFormat/>
    <w:rsid w:val="00E334FE"/>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E334FE"/>
    <w:pPr>
      <w:spacing w:before="0"/>
    </w:pPr>
    <w:rPr>
      <w:bCs/>
    </w:rPr>
  </w:style>
  <w:style w:type="paragraph" w:customStyle="1" w:styleId="TYTUAKTUprzedmiotregulacjiustawylubrozporzdzenia">
    <w:name w:val="TYTUŁ_AKTU – przedmiot regulacji ustawy lub rozporządzenia"/>
    <w:next w:val="ARTartustawynprozporzdzenia"/>
    <w:uiPriority w:val="6"/>
    <w:qFormat/>
    <w:rsid w:val="000220D9"/>
    <w:pPr>
      <w:keepNext/>
      <w:suppressAutoHyphens/>
      <w:spacing w:before="120" w:after="360" w:line="360" w:lineRule="auto"/>
      <w:jc w:val="center"/>
    </w:pPr>
    <w:rPr>
      <w:rFonts w:ascii="Times" w:eastAsiaTheme="minorEastAsia" w:hAnsi="Times" w:cs="Arial"/>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1742</Words>
  <Characters>10452</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Mielcarz Aleksandra  (DLPC)</dc:creator>
  <cp:keywords/>
  <dc:description/>
  <cp:lastModifiedBy>Mielcarz Aleksandra  (DLPC)</cp:lastModifiedBy>
  <cp:revision>2</cp:revision>
  <dcterms:created xsi:type="dcterms:W3CDTF">2021-08-18T22:56:00Z</dcterms:created>
  <dcterms:modified xsi:type="dcterms:W3CDTF">2021-08-18T22:56:00Z</dcterms:modified>
</cp:coreProperties>
</file>